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061D3">
      <w:pPr>
        <w:spacing w:line="660" w:lineRule="exact"/>
        <w:jc w:val="center"/>
        <w:rPr>
          <w:rFonts w:hint="eastAsia" w:ascii="楷体" w:hAnsi="楷体" w:eastAsia="楷体"/>
          <w:sz w:val="30"/>
          <w:szCs w:val="30"/>
        </w:rPr>
      </w:pPr>
      <w:r>
        <w:rPr>
          <w:rFonts w:hint="eastAsia" w:ascii="楷体" w:hAnsi="楷体" w:eastAsia="楷体"/>
          <w:sz w:val="30"/>
          <w:szCs w:val="30"/>
        </w:rPr>
        <w:t>变革·跃迁·引领</w:t>
      </w:r>
      <w:r>
        <w:rPr>
          <w:rFonts w:ascii="楷体" w:hAnsi="楷体" w:eastAsia="楷体"/>
          <w:sz w:val="30"/>
          <w:szCs w:val="30"/>
        </w:rPr>
        <w:t>：</w:t>
      </w:r>
      <w:r>
        <w:rPr>
          <w:rFonts w:hint="eastAsia" w:ascii="楷体" w:hAnsi="楷体" w:eastAsia="楷体"/>
          <w:sz w:val="30"/>
          <w:szCs w:val="30"/>
        </w:rPr>
        <w:t>为未来而教、人工智能</w:t>
      </w:r>
      <w:r>
        <w:rPr>
          <w:rFonts w:ascii="楷体" w:hAnsi="楷体" w:eastAsia="楷体"/>
          <w:sz w:val="30"/>
          <w:szCs w:val="30"/>
        </w:rPr>
        <w:t>驱动未来</w:t>
      </w:r>
      <w:r>
        <w:rPr>
          <w:rFonts w:hint="eastAsia" w:ascii="楷体" w:hAnsi="楷体" w:eastAsia="楷体"/>
          <w:sz w:val="30"/>
          <w:szCs w:val="30"/>
        </w:rPr>
        <w:t>高等</w:t>
      </w:r>
      <w:r>
        <w:rPr>
          <w:rFonts w:ascii="楷体" w:hAnsi="楷体" w:eastAsia="楷体"/>
          <w:sz w:val="30"/>
          <w:szCs w:val="30"/>
        </w:rPr>
        <w:t>教育范式重构</w:t>
      </w:r>
    </w:p>
    <w:p w14:paraId="5C45A2E8">
      <w:pPr>
        <w:spacing w:line="660" w:lineRule="exact"/>
        <w:jc w:val="center"/>
        <w:rPr>
          <w:rFonts w:hint="eastAsia" w:ascii="微软雅黑" w:hAnsi="微软雅黑" w:eastAsia="微软雅黑"/>
          <w:b/>
          <w:bCs/>
          <w:color w:val="FF0000"/>
          <w:kern w:val="0"/>
          <w:sz w:val="48"/>
          <w:szCs w:val="48"/>
        </w:rPr>
      </w:pPr>
      <w:r>
        <w:rPr>
          <w:rFonts w:hint="eastAsia" w:ascii="微软雅黑" w:hAnsi="微软雅黑" w:eastAsia="微软雅黑"/>
          <w:b/>
          <w:bCs/>
          <w:color w:val="FF0000"/>
          <w:kern w:val="0"/>
          <w:sz w:val="48"/>
          <w:szCs w:val="48"/>
        </w:rPr>
        <w:t>第五届“AI+教育”高等教育范式重构暨大学教学创新发展与智慧课程建设高级培训会</w:t>
      </w:r>
    </w:p>
    <w:p w14:paraId="76879484">
      <w:pPr>
        <w:spacing w:line="440" w:lineRule="exact"/>
        <w:jc w:val="center"/>
        <w:rPr>
          <w:rFonts w:hint="eastAsia" w:ascii="华文楷体" w:hAnsi="华文楷体" w:eastAsia="华文楷体" w:cs="华文楷体"/>
          <w:sz w:val="28"/>
          <w:szCs w:val="28"/>
        </w:rPr>
      </w:pPr>
      <w:r>
        <w:rPr>
          <w:rFonts w:hint="eastAsia" w:ascii="华文楷体" w:hAnsi="华文楷体" w:eastAsia="华文楷体" w:cs="华文楷体"/>
          <w:sz w:val="24"/>
          <w:szCs w:val="24"/>
        </w:rPr>
        <w:t>高教师培﹝2025﹞085号</w:t>
      </w:r>
    </w:p>
    <w:p w14:paraId="4A597DEB">
      <w:pPr>
        <w:spacing w:before="62" w:beforeLines="20" w:line="440" w:lineRule="exact"/>
        <w:rPr>
          <w:rFonts w:hint="eastAsia" w:ascii="华文楷体" w:hAnsi="华文楷体" w:eastAsia="华文楷体"/>
          <w:sz w:val="28"/>
          <w:szCs w:val="28"/>
        </w:rPr>
      </w:pPr>
      <w:r>
        <mc:AlternateContent>
          <mc:Choice Requires="wps">
            <w:drawing>
              <wp:anchor distT="0" distB="0" distL="114935" distR="114935" simplePos="0" relativeHeight="251660288" behindDoc="0" locked="0" layoutInCell="1" allowOverlap="1">
                <wp:simplePos x="0" y="0"/>
                <wp:positionH relativeFrom="margin">
                  <wp:posOffset>6350</wp:posOffset>
                </wp:positionH>
                <wp:positionV relativeFrom="paragraph">
                  <wp:posOffset>69215</wp:posOffset>
                </wp:positionV>
                <wp:extent cx="6258560" cy="13970"/>
                <wp:effectExtent l="0" t="19050" r="2540" b="304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258560" cy="1397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5pt;margin-top:5.45pt;height:1.1pt;width:492.8pt;mso-position-horizontal-relative:margin;z-index:251660288;mso-width-relative:page;mso-height-relative:page;" filled="f" stroked="t" coordsize="21600,21600" o:gfxdata="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S6DJ9kAAAAHAQAADwAAAAAAAAABACAAAAAiAAAAZHJzL2Rvd25yZXYueG1sUEsBAhQA&#10;FAAAAAgAh07iQMaJ18zxAQAAvQMAAA4AAAAAAAAAAQAgAAAAKAEAAGRycy9lMm9Eb2MueG1sUEsF&#10;BgAAAAAGAAYAWQEAAIsFAAAAAA==&#10;">
                <v:fill on="f" focussize="0,0"/>
                <v:stroke weight="3pt" color="#FF0000" joinstyle="round"/>
                <v:imagedata o:title=""/>
                <o:lock v:ext="edit" aspectratio="f"/>
              </v:line>
            </w:pict>
          </mc:Fallback>
        </mc:AlternateContent>
      </w:r>
    </w:p>
    <w:p w14:paraId="664084D9">
      <w:pPr>
        <w:spacing w:after="62" w:afterLines="20" w:line="420" w:lineRule="exact"/>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各高等院校：</w:t>
      </w:r>
    </w:p>
    <w:p w14:paraId="7452073E">
      <w:pPr>
        <w:spacing w:after="6" w:afterLines="2" w:line="420" w:lineRule="exact"/>
        <w:ind w:firstLine="480" w:firstLineChars="200"/>
        <w:rPr>
          <w:rFonts w:ascii="等线" w:hAnsi="等线" w:eastAsia="等线" w:cs="等线"/>
          <w:sz w:val="24"/>
          <w:szCs w:val="24"/>
        </w:rPr>
      </w:pPr>
      <w:r>
        <w:rPr>
          <w:rFonts w:hint="eastAsia" w:ascii="等线" w:hAnsi="等线" w:eastAsia="等线" w:cs="等线"/>
          <w:sz w:val="24"/>
          <w:szCs w:val="24"/>
        </w:rPr>
        <w:t>2025年4月</w:t>
      </w:r>
      <w:r>
        <w:rPr>
          <w:rFonts w:ascii="等线" w:hAnsi="等线" w:eastAsia="等线" w:cs="等线"/>
          <w:sz w:val="24"/>
          <w:szCs w:val="24"/>
        </w:rPr>
        <w:t>教育部等九部门联合发布《关于加快推进教育数字化的意见》明确以教育数字化为突破口，推动教育系统性变革，构建“泛在可及的终身教育体系”。在此背景下，高等教育亟需通过范式重构，实现从教学手段到育人体系的全面革新。</w:t>
      </w:r>
    </w:p>
    <w:p w14:paraId="27E77046">
      <w:pPr>
        <w:spacing w:after="6" w:afterLines="2" w:line="420" w:lineRule="exact"/>
        <w:ind w:firstLine="480" w:firstLineChars="200"/>
        <w:rPr>
          <w:rFonts w:ascii="等线" w:hAnsi="等线" w:eastAsia="等线" w:cs="等线"/>
          <w:sz w:val="24"/>
          <w:szCs w:val="24"/>
        </w:rPr>
      </w:pPr>
      <w:r>
        <w:rPr>
          <w:rFonts w:ascii="等线" w:hAnsi="等线" w:eastAsia="等线" w:cs="等线"/>
          <w:sz w:val="24"/>
          <w:szCs w:val="24"/>
        </w:rPr>
        <w:t>本次培训旨在深入探讨人工智能技术如何赋能高等教育，推动教学理念、方法与模式的创新。在“十四五”规划和年远景目标纲要的引领下，我们致力于培养适应未来社会需求的高素质人才，而人工智能技术的融入，无疑将为这一目标的实现提供强大动力。活动日程精心安排，涵盖了从“人工智能赋能高等教育及其挑战”到“基于生成式人工智能的智慧课程建设与实践案例分享”，再到“从数字化到数智化：数智赋能教学创新设计与实践”等多个前沿议题。我们邀请了来自清华大学、上海交通大学、陕西师范大学、北京大学等国内顶尖高校的知名专家教授，他们将结合丰富的实践经验，为我们带来深入浅出的讲解与案例分享。</w:t>
      </w:r>
    </w:p>
    <w:p w14:paraId="74CAE7B9">
      <w:pPr>
        <w:spacing w:after="6" w:afterLines="2" w:line="420" w:lineRule="exact"/>
        <w:ind w:firstLine="480" w:firstLineChars="200"/>
        <w:rPr>
          <w:rFonts w:ascii="等线" w:hAnsi="等线" w:eastAsia="等线" w:cs="等线"/>
          <w:sz w:val="24"/>
          <w:szCs w:val="24"/>
        </w:rPr>
      </w:pPr>
      <w:r>
        <w:rPr>
          <w:rFonts w:ascii="等线" w:hAnsi="等线" w:eastAsia="等线" w:cs="等线"/>
          <w:sz w:val="24"/>
          <w:szCs w:val="24"/>
        </w:rPr>
        <w:t>通过本次培训，您将能够全面了解人工智能技术在高等教育中的应用现状与发展趋势，掌握智慧课程建设的核心要素与实施路径，以及数智赋能教学设计的创新方法与实践技巧。同时，我们也鼓励各位老师积极交流、碰撞思想，共同探索人工智能时代教育教学的新路径。</w:t>
      </w:r>
    </w:p>
    <w:p w14:paraId="10353A08">
      <w:pPr>
        <w:spacing w:after="6" w:afterLines="2"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现将具体内容通知如下：</w:t>
      </w:r>
    </w:p>
    <w:p w14:paraId="2B1B452F">
      <w:pPr>
        <w:spacing w:after="6" w:afterLines="2" w:line="420" w:lineRule="exact"/>
        <w:ind w:firstLine="480" w:firstLineChars="200"/>
        <w:rPr>
          <w:rFonts w:hint="eastAsia" w:ascii="宋体" w:hAnsi="宋体"/>
          <w:sz w:val="24"/>
          <w:szCs w:val="24"/>
        </w:rPr>
      </w:pPr>
      <w:r>
        <w:rPr>
          <w:rFonts w:hint="eastAsia" w:ascii="微软雅黑" w:hAnsi="微软雅黑" w:eastAsia="微软雅黑"/>
          <w:b/>
          <w:sz w:val="24"/>
          <w:szCs w:val="24"/>
        </w:rPr>
        <w:t>一、主办单位：</w:t>
      </w:r>
    </w:p>
    <w:p w14:paraId="5039DDB6">
      <w:pPr>
        <w:spacing w:after="6" w:afterLines="2" w:line="420" w:lineRule="exact"/>
        <w:ind w:firstLine="480" w:firstLineChars="200"/>
        <w:rPr>
          <w:rFonts w:hint="eastAsia" w:ascii="宋体" w:hAnsi="宋体"/>
          <w:sz w:val="24"/>
          <w:szCs w:val="24"/>
        </w:rPr>
      </w:pPr>
      <w:r>
        <w:rPr>
          <w:rFonts w:hint="eastAsia" w:ascii="宋体" w:hAnsi="宋体"/>
          <w:sz w:val="24"/>
          <w:szCs w:val="24"/>
        </w:rPr>
        <w:t>主办：北京华思培教育科技院</w:t>
      </w:r>
    </w:p>
    <w:p w14:paraId="56FB6D73">
      <w:pPr>
        <w:spacing w:after="6" w:afterLines="2" w:line="420" w:lineRule="exact"/>
        <w:ind w:firstLine="480" w:firstLineChars="200"/>
        <w:rPr>
          <w:rFonts w:hint="eastAsia" w:ascii="宋体" w:hAnsi="宋体"/>
          <w:sz w:val="24"/>
          <w:szCs w:val="24"/>
        </w:rPr>
      </w:pPr>
      <w:r>
        <w:rPr>
          <w:rFonts w:hint="eastAsia" w:ascii="宋体" w:hAnsi="宋体"/>
          <w:sz w:val="24"/>
          <w:szCs w:val="24"/>
        </w:rPr>
        <w:t>协办：北京格致方略教育科技有限公司、陕西卓越信科会展有限公司</w:t>
      </w:r>
    </w:p>
    <w:p w14:paraId="06A2C8EC">
      <w:pPr>
        <w:spacing w:after="6" w:afterLines="2" w:line="42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二、研修时间、方式与地点：</w:t>
      </w:r>
    </w:p>
    <w:p w14:paraId="2E02A7AE">
      <w:pPr>
        <w:tabs>
          <w:tab w:val="center" w:pos="4873"/>
        </w:tabs>
        <w:spacing w:after="6" w:afterLines="2"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时间：2025年07月25日—28日    方式：线下+线上+回看</w:t>
      </w:r>
    </w:p>
    <w:p w14:paraId="36E77C8D">
      <w:pPr>
        <w:tabs>
          <w:tab w:val="center" w:pos="4873"/>
        </w:tabs>
        <w:spacing w:after="6" w:afterLines="2"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地点：陕西 · 西安（</w:t>
      </w:r>
      <w:r>
        <w:rPr>
          <w:rFonts w:hint="eastAsia" w:ascii="宋体" w:hAnsi="宋体"/>
          <w:sz w:val="24"/>
          <w:szCs w:val="24"/>
        </w:rPr>
        <w:t>西安亿融酒店</w:t>
      </w:r>
      <w:r>
        <w:rPr>
          <w:rFonts w:hint="eastAsia" w:ascii="等线" w:hAnsi="等线" w:eastAsia="等线" w:cs="等线"/>
          <w:sz w:val="24"/>
          <w:szCs w:val="24"/>
        </w:rPr>
        <w:t>，</w:t>
      </w:r>
      <w:r>
        <w:rPr>
          <w:rFonts w:hint="eastAsia" w:ascii="宋体" w:hAnsi="宋体"/>
          <w:sz w:val="24"/>
          <w:szCs w:val="24"/>
        </w:rPr>
        <w:t>西安市莲湖区莲湖路331号</w:t>
      </w:r>
      <w:r>
        <w:rPr>
          <w:rFonts w:hint="eastAsia" w:ascii="等线" w:hAnsi="等线" w:eastAsia="等线" w:cs="等线"/>
          <w:sz w:val="24"/>
          <w:szCs w:val="24"/>
        </w:rPr>
        <w:t>）</w:t>
      </w:r>
    </w:p>
    <w:p w14:paraId="69A20BDB">
      <w:pPr>
        <w:tabs>
          <w:tab w:val="center" w:pos="4873"/>
        </w:tabs>
        <w:spacing w:after="6" w:afterLines="2" w:line="420" w:lineRule="exact"/>
        <w:ind w:firstLine="480" w:firstLineChars="200"/>
        <w:rPr>
          <w:rFonts w:hint="eastAsia" w:ascii="宋体" w:hAnsi="宋体"/>
          <w:sz w:val="24"/>
          <w:szCs w:val="24"/>
        </w:rPr>
      </w:pPr>
      <w:r>
        <w:rPr>
          <w:rFonts w:hint="eastAsia" w:ascii="等线" w:hAnsi="等线" w:eastAsia="等线" w:cs="等线"/>
          <w:sz w:val="24"/>
          <w:szCs w:val="24"/>
        </w:rPr>
        <w:t>线下参会代表7月25日全天报到，线上线下</w:t>
      </w:r>
      <w:r>
        <w:rPr>
          <w:rFonts w:hint="eastAsia" w:ascii="宋体" w:hAnsi="宋体" w:eastAsia="等线"/>
          <w:sz w:val="24"/>
          <w:szCs w:val="24"/>
        </w:rPr>
        <w:t>26日/</w:t>
      </w:r>
      <w:r>
        <w:rPr>
          <w:rFonts w:hint="eastAsia" w:ascii="宋体" w:hAnsi="宋体"/>
          <w:sz w:val="24"/>
          <w:szCs w:val="24"/>
        </w:rPr>
        <w:t>27日全天培训，28日离会</w:t>
      </w:r>
    </w:p>
    <w:p w14:paraId="08ADBA36">
      <w:pPr>
        <w:tabs>
          <w:tab w:val="center" w:pos="4873"/>
        </w:tabs>
        <w:spacing w:after="6" w:afterLines="2" w:line="420" w:lineRule="exact"/>
        <w:ind w:firstLine="480" w:firstLineChars="200"/>
        <w:rPr>
          <w:rFonts w:hint="eastAsia" w:ascii="等线" w:hAnsi="等线" w:eastAsia="等线" w:cs="等线"/>
          <w:b/>
          <w:bCs/>
          <w:sz w:val="24"/>
          <w:szCs w:val="24"/>
        </w:rPr>
      </w:pPr>
      <w:r>
        <w:rPr>
          <w:rFonts w:hint="eastAsia" w:ascii="等线" w:hAnsi="等线" w:eastAsia="等线" w:cs="等线"/>
          <w:b/>
          <w:bCs/>
          <w:sz w:val="24"/>
          <w:szCs w:val="24"/>
        </w:rPr>
        <w:t>备注：参加线下培训同样可获得培训课程线上回放资格；（回放至少支持一年）</w:t>
      </w:r>
    </w:p>
    <w:p w14:paraId="611FEBE3">
      <w:pPr>
        <w:spacing w:after="6" w:afterLines="2" w:line="42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三、研修目标：</w:t>
      </w:r>
    </w:p>
    <w:p w14:paraId="224A9237">
      <w:pPr>
        <w:spacing w:after="6" w:afterLines="2" w:line="420" w:lineRule="exact"/>
        <w:ind w:firstLine="480" w:firstLineChars="200"/>
        <w:rPr>
          <w:rFonts w:ascii="宋体" w:hAnsi="宋体"/>
          <w:sz w:val="24"/>
          <w:szCs w:val="24"/>
        </w:rPr>
      </w:pPr>
      <w:r>
        <w:rPr>
          <w:rFonts w:ascii="Times New Roman" w:hAnsi="Times New Roman" w:cs="Times New Roman"/>
          <w:sz w:val="24"/>
          <w:szCs w:val="24"/>
        </w:rPr>
        <w:t>‌</w:t>
      </w:r>
      <w:r>
        <w:rPr>
          <w:rFonts w:hint="eastAsia" w:ascii="宋体" w:hAnsi="宋体"/>
          <w:b/>
          <w:bCs/>
          <w:sz w:val="24"/>
          <w:szCs w:val="24"/>
        </w:rPr>
        <w:t>深化政策理解，明确系统性变革路径</w:t>
      </w:r>
      <w:r>
        <w:rPr>
          <w:rFonts w:ascii="Times New Roman" w:hAnsi="Times New Roman" w:cs="Times New Roman"/>
          <w:b/>
          <w:bCs/>
          <w:sz w:val="24"/>
          <w:szCs w:val="24"/>
        </w:rPr>
        <w:t>‌</w:t>
      </w:r>
      <w:r>
        <w:rPr>
          <w:rFonts w:hint="eastAsia" w:ascii="宋体" w:hAnsi="宋体"/>
          <w:b/>
          <w:bCs/>
          <w:sz w:val="24"/>
          <w:szCs w:val="24"/>
        </w:rPr>
        <w:t>：</w:t>
      </w:r>
      <w:r>
        <w:rPr>
          <w:rFonts w:hint="eastAsia" w:ascii="宋体" w:hAnsi="宋体"/>
          <w:sz w:val="24"/>
          <w:szCs w:val="24"/>
        </w:rPr>
        <w:t>落实《关于加快推进教育数字化的意见》核心要求，厘清高等教育数字化转型的战略方向与实施框架，推动政策要求转化为院校改革的具体行动方案。</w:t>
      </w:r>
      <w:r>
        <w:rPr>
          <w:rFonts w:hint="eastAsia" w:ascii="宋体" w:hAnsi="宋体"/>
          <w:b/>
          <w:bCs/>
          <w:sz w:val="24"/>
          <w:szCs w:val="24"/>
        </w:rPr>
        <w:t>构建技术赋能的教育新生态</w:t>
      </w:r>
      <w:r>
        <w:rPr>
          <w:rFonts w:ascii="Times New Roman" w:hAnsi="Times New Roman" w:cs="Times New Roman"/>
          <w:b/>
          <w:bCs/>
          <w:sz w:val="24"/>
          <w:szCs w:val="24"/>
        </w:rPr>
        <w:t>‌</w:t>
      </w:r>
      <w:r>
        <w:rPr>
          <w:rFonts w:hint="eastAsia" w:ascii="宋体" w:hAnsi="宋体"/>
          <w:b/>
          <w:bCs/>
          <w:sz w:val="24"/>
          <w:szCs w:val="24"/>
        </w:rPr>
        <w:t>：</w:t>
      </w:r>
      <w:r>
        <w:rPr>
          <w:rFonts w:hint="eastAsia" w:ascii="宋体" w:hAnsi="宋体"/>
          <w:sz w:val="24"/>
          <w:szCs w:val="24"/>
        </w:rPr>
        <w:t>探索人工智能、大数据与垂直领域大模型在教学场景中的深度应用，实现教学内容与产业需求的动态适配，促进“教育—科技—人才”协同发展。</w:t>
      </w:r>
      <w:r>
        <w:rPr>
          <w:rFonts w:hint="eastAsia" w:ascii="宋体" w:hAnsi="宋体"/>
          <w:b/>
          <w:bCs/>
          <w:sz w:val="24"/>
          <w:szCs w:val="24"/>
        </w:rPr>
        <w:t>提升教师数智化胜任力</w:t>
      </w:r>
      <w:r>
        <w:rPr>
          <w:rFonts w:ascii="Times New Roman" w:hAnsi="Times New Roman" w:cs="Times New Roman"/>
          <w:b/>
          <w:bCs/>
          <w:sz w:val="24"/>
          <w:szCs w:val="24"/>
        </w:rPr>
        <w:t>‌</w:t>
      </w:r>
      <w:r>
        <w:rPr>
          <w:rFonts w:hint="eastAsia" w:ascii="宋体" w:hAnsi="宋体"/>
          <w:b/>
          <w:bCs/>
          <w:sz w:val="24"/>
          <w:szCs w:val="24"/>
        </w:rPr>
        <w:t>：</w:t>
      </w:r>
      <w:r>
        <w:rPr>
          <w:rFonts w:hint="eastAsia" w:ascii="宋体" w:hAnsi="宋体"/>
          <w:sz w:val="24"/>
          <w:szCs w:val="24"/>
        </w:rPr>
        <w:t>强化教师“人机协同”教学能力，培养从课程设计到评价反馈的全链路数字化素养，支撑教学模式创新与人才培养质量提升。</w:t>
      </w:r>
      <w:r>
        <w:rPr>
          <w:rFonts w:ascii="宋体" w:hAnsi="宋体"/>
          <w:sz w:val="24"/>
          <w:szCs w:val="24"/>
        </w:rPr>
        <w:t xml:space="preserve"> </w:t>
      </w:r>
    </w:p>
    <w:p w14:paraId="1BFCF8D5">
      <w:pPr>
        <w:spacing w:after="6" w:afterLines="2" w:line="420" w:lineRule="exact"/>
        <w:ind w:firstLine="480" w:firstLineChars="200"/>
        <w:rPr>
          <w:rFonts w:hint="eastAsia" w:ascii="宋体" w:hAnsi="宋体"/>
          <w:sz w:val="24"/>
          <w:szCs w:val="24"/>
        </w:rPr>
      </w:pPr>
      <w:r>
        <w:rPr>
          <w:rFonts w:hint="eastAsia" w:ascii="微软雅黑" w:hAnsi="微软雅黑" w:eastAsia="微软雅黑"/>
          <w:b/>
          <w:sz w:val="24"/>
          <w:szCs w:val="24"/>
        </w:rPr>
        <w:t>四、研修对象：</w:t>
      </w:r>
      <w:r>
        <w:rPr>
          <w:rFonts w:ascii="宋体" w:hAnsi="宋体"/>
          <w:sz w:val="24"/>
          <w:szCs w:val="24"/>
        </w:rPr>
        <w:t></w:t>
      </w:r>
    </w:p>
    <w:p w14:paraId="52E2C2B1">
      <w:pPr>
        <w:spacing w:after="6" w:afterLines="2" w:line="420" w:lineRule="exact"/>
        <w:ind w:firstLine="480" w:firstLineChars="200"/>
        <w:rPr>
          <w:rFonts w:hint="eastAsia" w:ascii="微软雅黑" w:hAnsi="微软雅黑" w:eastAsia="微软雅黑"/>
          <w:b/>
          <w:sz w:val="24"/>
          <w:szCs w:val="24"/>
        </w:rPr>
      </w:pPr>
      <w:r>
        <w:rPr>
          <w:rFonts w:hint="eastAsia" w:ascii="宋体" w:hAnsi="宋体"/>
          <w:sz w:val="24"/>
          <w:szCs w:val="24"/>
        </w:rPr>
        <w:t>各高校（含职业、部队院校）一线教师；高校领导、职能部门处/科相关人员；各二级学院/机构相关人员；以及对AI赋能教育相关领域的企业代表。</w:t>
      </w:r>
    </w:p>
    <w:p w14:paraId="27BA988B">
      <w:pPr>
        <w:spacing w:after="6" w:afterLines="2" w:line="42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五、日程安排：</w:t>
      </w:r>
    </w:p>
    <w:tbl>
      <w:tblPr>
        <w:tblStyle w:val="7"/>
        <w:tblpPr w:leftFromText="180" w:rightFromText="180" w:vertAnchor="text" w:horzAnchor="margin" w:tblpX="178" w:tblpY="267"/>
        <w:tblOverlap w:val="never"/>
        <w:tblW w:w="4821" w:type="pct"/>
        <w:tblInd w:w="0" w:type="dxa"/>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ayout w:type="autofit"/>
        <w:tblCellMar>
          <w:top w:w="0" w:type="dxa"/>
          <w:left w:w="108" w:type="dxa"/>
          <w:bottom w:w="0" w:type="dxa"/>
          <w:right w:w="108" w:type="dxa"/>
        </w:tblCellMar>
      </w:tblPr>
      <w:tblGrid>
        <w:gridCol w:w="826"/>
        <w:gridCol w:w="1435"/>
        <w:gridCol w:w="1264"/>
        <w:gridCol w:w="6196"/>
      </w:tblGrid>
      <w:tr w14:paraId="55EE6F65">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58" w:hRule="atLeast"/>
        </w:trPr>
        <w:tc>
          <w:tcPr>
            <w:tcW w:w="5000" w:type="pct"/>
            <w:gridSpan w:val="4"/>
            <w:shd w:val="clear" w:color="auto" w:fill="CBD3DE" w:themeFill="text2" w:themeFillTint="40"/>
            <w:vAlign w:val="center"/>
          </w:tcPr>
          <w:p w14:paraId="37F53B3D">
            <w:pPr>
              <w:spacing w:line="420" w:lineRule="exact"/>
              <w:jc w:val="center"/>
              <w:rPr>
                <w:rFonts w:hint="eastAsia" w:ascii="宋体" w:hAnsi="宋体"/>
                <w:b/>
                <w:kern w:val="0"/>
                <w:sz w:val="24"/>
                <w:szCs w:val="24"/>
              </w:rPr>
            </w:pPr>
            <w:r>
              <w:rPr>
                <w:rFonts w:hint="eastAsia" w:ascii="宋体" w:hAnsi="宋体"/>
                <w:b/>
                <w:kern w:val="0"/>
                <w:sz w:val="24"/>
                <w:szCs w:val="24"/>
              </w:rPr>
              <w:t>第五届“AI+教育”高等教育范式重构暨大学教学创新发展与智慧课程建设高级培训会</w:t>
            </w:r>
          </w:p>
        </w:tc>
      </w:tr>
      <w:tr w14:paraId="09876318">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 w:hRule="atLeast"/>
        </w:trPr>
        <w:tc>
          <w:tcPr>
            <w:tcW w:w="1163" w:type="pct"/>
            <w:gridSpan w:val="2"/>
            <w:vAlign w:val="center"/>
          </w:tcPr>
          <w:p w14:paraId="37346689">
            <w:pPr>
              <w:spacing w:line="420" w:lineRule="exact"/>
              <w:jc w:val="center"/>
              <w:rPr>
                <w:rFonts w:hint="eastAsia" w:ascii="宋体" w:hAnsi="宋体"/>
                <w:b/>
                <w:kern w:val="0"/>
                <w:szCs w:val="21"/>
              </w:rPr>
            </w:pPr>
            <w:r>
              <w:rPr>
                <w:rFonts w:hint="eastAsia" w:ascii="宋体" w:hAnsi="宋体"/>
                <w:b/>
                <w:kern w:val="0"/>
                <w:szCs w:val="21"/>
              </w:rPr>
              <w:t>时间</w:t>
            </w:r>
          </w:p>
        </w:tc>
        <w:tc>
          <w:tcPr>
            <w:tcW w:w="3837" w:type="pct"/>
            <w:gridSpan w:val="2"/>
            <w:vAlign w:val="center"/>
          </w:tcPr>
          <w:p w14:paraId="704E5E5F">
            <w:pPr>
              <w:spacing w:line="420" w:lineRule="exact"/>
              <w:jc w:val="center"/>
              <w:rPr>
                <w:rFonts w:hint="eastAsia" w:ascii="宋体" w:hAnsi="宋体"/>
                <w:b/>
                <w:kern w:val="0"/>
                <w:szCs w:val="21"/>
              </w:rPr>
            </w:pPr>
            <w:r>
              <w:rPr>
                <w:rFonts w:hint="eastAsia" w:ascii="宋体" w:hAnsi="宋体"/>
                <w:b/>
                <w:kern w:val="0"/>
                <w:szCs w:val="21"/>
              </w:rPr>
              <w:t>活动内容概述</w:t>
            </w:r>
          </w:p>
        </w:tc>
      </w:tr>
      <w:tr w14:paraId="4C43B230">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 w:hRule="atLeast"/>
        </w:trPr>
        <w:tc>
          <w:tcPr>
            <w:tcW w:w="1163" w:type="pct"/>
            <w:gridSpan w:val="2"/>
            <w:vAlign w:val="center"/>
          </w:tcPr>
          <w:p w14:paraId="29F13782">
            <w:pPr>
              <w:spacing w:line="420" w:lineRule="exact"/>
              <w:jc w:val="center"/>
              <w:rPr>
                <w:rFonts w:hint="eastAsia" w:ascii="宋体" w:hAnsi="宋体"/>
                <w:b/>
                <w:color w:val="2E75B6" w:themeColor="accent5" w:themeShade="BF"/>
                <w:kern w:val="0"/>
                <w:szCs w:val="21"/>
              </w:rPr>
            </w:pPr>
            <w:r>
              <w:rPr>
                <w:rFonts w:hint="eastAsia"/>
                <w:color w:val="2E75B6" w:themeColor="accent5" w:themeShade="BF"/>
                <w:kern w:val="0"/>
                <w:szCs w:val="21"/>
              </w:rPr>
              <w:t>07月25日</w:t>
            </w:r>
          </w:p>
        </w:tc>
        <w:tc>
          <w:tcPr>
            <w:tcW w:w="3837" w:type="pct"/>
            <w:gridSpan w:val="2"/>
            <w:vAlign w:val="center"/>
          </w:tcPr>
          <w:p w14:paraId="25EB3B03">
            <w:pPr>
              <w:spacing w:line="420" w:lineRule="exact"/>
              <w:jc w:val="center"/>
              <w:rPr>
                <w:rFonts w:hint="eastAsia" w:ascii="宋体" w:hAnsi="宋体"/>
                <w:b/>
                <w:kern w:val="0"/>
                <w:szCs w:val="21"/>
              </w:rPr>
            </w:pPr>
            <w:r>
              <w:rPr>
                <w:rFonts w:hint="eastAsia" w:ascii="宋体" w:hAnsi="宋体"/>
                <w:b/>
                <w:kern w:val="0"/>
                <w:szCs w:val="21"/>
              </w:rPr>
              <w:t>线下参会老师全天报到</w:t>
            </w:r>
          </w:p>
        </w:tc>
      </w:tr>
      <w:tr w14:paraId="798739EC">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7" w:hRule="atLeast"/>
        </w:trPr>
        <w:tc>
          <w:tcPr>
            <w:tcW w:w="425" w:type="pct"/>
            <w:vMerge w:val="restart"/>
            <w:vAlign w:val="center"/>
          </w:tcPr>
          <w:p w14:paraId="5C17BBF2">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07月26日</w:t>
            </w:r>
          </w:p>
        </w:tc>
        <w:tc>
          <w:tcPr>
            <w:tcW w:w="738" w:type="pct"/>
            <w:vMerge w:val="restart"/>
            <w:vAlign w:val="center"/>
          </w:tcPr>
          <w:p w14:paraId="15920AF5">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09:00-12:00</w:t>
            </w:r>
          </w:p>
          <w:p w14:paraId="1EBB1CE4">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线下+线上</w:t>
            </w:r>
          </w:p>
          <w:p w14:paraId="0B502009">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均支持回放</w:t>
            </w:r>
          </w:p>
        </w:tc>
        <w:tc>
          <w:tcPr>
            <w:tcW w:w="650" w:type="pct"/>
            <w:shd w:val="clear" w:color="auto" w:fill="CBD3DE" w:themeFill="text2" w:themeFillTint="40"/>
            <w:vAlign w:val="center"/>
          </w:tcPr>
          <w:p w14:paraId="1BE9BE81">
            <w:pPr>
              <w:spacing w:line="420" w:lineRule="exact"/>
              <w:jc w:val="center"/>
              <w:rPr>
                <w:rFonts w:hint="eastAsia" w:ascii="宋体" w:hAnsi="宋体"/>
                <w:b/>
                <w:kern w:val="0"/>
                <w:szCs w:val="21"/>
              </w:rPr>
            </w:pPr>
            <w:r>
              <w:rPr>
                <w:rFonts w:hint="eastAsia" w:ascii="宋体" w:hAnsi="宋体"/>
                <w:b/>
                <w:kern w:val="0"/>
                <w:szCs w:val="21"/>
              </w:rPr>
              <w:t>培训主题</w:t>
            </w:r>
          </w:p>
        </w:tc>
        <w:tc>
          <w:tcPr>
            <w:tcW w:w="3187" w:type="pct"/>
            <w:shd w:val="clear" w:color="auto" w:fill="CBD3DE" w:themeFill="text2" w:themeFillTint="40"/>
            <w:vAlign w:val="center"/>
          </w:tcPr>
          <w:p w14:paraId="713E2E68">
            <w:pPr>
              <w:spacing w:line="420" w:lineRule="exact"/>
              <w:jc w:val="center"/>
              <w:rPr>
                <w:rFonts w:hint="eastAsia" w:ascii="宋体" w:hAnsi="宋体"/>
                <w:b/>
                <w:kern w:val="0"/>
                <w:szCs w:val="21"/>
              </w:rPr>
            </w:pPr>
            <w:r>
              <w:rPr>
                <w:rFonts w:hint="eastAsia" w:ascii="宋体" w:hAnsi="宋体"/>
                <w:b/>
                <w:kern w:val="0"/>
                <w:szCs w:val="21"/>
              </w:rPr>
              <w:t>人工智能赋能高等教育及其挑战</w:t>
            </w:r>
          </w:p>
        </w:tc>
      </w:tr>
      <w:tr w14:paraId="21DBA15F">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3000" w:hRule="atLeast"/>
        </w:trPr>
        <w:tc>
          <w:tcPr>
            <w:tcW w:w="425" w:type="pct"/>
            <w:vMerge w:val="continue"/>
            <w:vAlign w:val="center"/>
          </w:tcPr>
          <w:p w14:paraId="53C61389">
            <w:pPr>
              <w:spacing w:line="420" w:lineRule="exact"/>
              <w:jc w:val="center"/>
              <w:rPr>
                <w:rFonts w:hint="eastAsia"/>
                <w:color w:val="2E75B6" w:themeColor="accent5" w:themeShade="BF"/>
                <w:kern w:val="0"/>
                <w:szCs w:val="21"/>
              </w:rPr>
            </w:pPr>
          </w:p>
        </w:tc>
        <w:tc>
          <w:tcPr>
            <w:tcW w:w="738" w:type="pct"/>
            <w:vMerge w:val="continue"/>
            <w:vAlign w:val="center"/>
          </w:tcPr>
          <w:p w14:paraId="70E851E6">
            <w:pPr>
              <w:spacing w:line="420" w:lineRule="exact"/>
              <w:jc w:val="center"/>
              <w:rPr>
                <w:rFonts w:hint="eastAsia"/>
                <w:color w:val="2E75B6" w:themeColor="accent5" w:themeShade="BF"/>
                <w:kern w:val="0"/>
                <w:szCs w:val="21"/>
              </w:rPr>
            </w:pPr>
          </w:p>
        </w:tc>
        <w:tc>
          <w:tcPr>
            <w:tcW w:w="650" w:type="pct"/>
            <w:vAlign w:val="center"/>
          </w:tcPr>
          <w:p w14:paraId="1B9ACA4F">
            <w:pPr>
              <w:spacing w:line="420" w:lineRule="exact"/>
              <w:jc w:val="center"/>
              <w:rPr>
                <w:rFonts w:hint="eastAsia" w:ascii="宋体" w:hAnsi="宋体"/>
                <w:kern w:val="0"/>
                <w:szCs w:val="21"/>
              </w:rPr>
            </w:pPr>
            <w:r>
              <w:rPr>
                <w:rFonts w:hint="eastAsia" w:ascii="宋体" w:hAnsi="宋体"/>
                <w:kern w:val="0"/>
                <w:szCs w:val="21"/>
              </w:rPr>
              <w:t>培训内容</w:t>
            </w:r>
          </w:p>
        </w:tc>
        <w:tc>
          <w:tcPr>
            <w:tcW w:w="3187" w:type="pct"/>
            <w:vAlign w:val="center"/>
          </w:tcPr>
          <w:p w14:paraId="1C5005F4">
            <w:pPr>
              <w:spacing w:line="420" w:lineRule="exact"/>
              <w:rPr>
                <w:rFonts w:hint="eastAsia" w:ascii="宋体" w:hAnsi="宋体"/>
                <w:kern w:val="0"/>
                <w:szCs w:val="21"/>
              </w:rPr>
            </w:pPr>
            <w:r>
              <w:rPr>
                <w:rFonts w:hint="eastAsia" w:ascii="宋体" w:hAnsi="宋体"/>
                <w:kern w:val="0"/>
                <w:szCs w:val="21"/>
              </w:rPr>
              <w:t>报告以回顾过去20年来教育资源数字化对高校教学理念和实践的改变作为背景，通过AI itself, AI for research, AI for administration和AI for education 和这4个视角来看待当前人工智能技术对高等教育的所带来的机遇和挑战，并在人才培养这一方面进行了详细讨论。</w:t>
            </w:r>
          </w:p>
          <w:p w14:paraId="45011F88">
            <w:pPr>
              <w:spacing w:line="420" w:lineRule="exact"/>
              <w:rPr>
                <w:rFonts w:hint="eastAsia" w:ascii="宋体" w:hAnsi="宋体"/>
                <w:kern w:val="0"/>
                <w:szCs w:val="21"/>
              </w:rPr>
            </w:pPr>
            <w:r>
              <w:rPr>
                <w:rFonts w:hint="eastAsia" w:ascii="宋体" w:hAnsi="宋体"/>
                <w:kern w:val="0"/>
                <w:szCs w:val="21"/>
              </w:rPr>
              <w:t>一、课程资源数字化和以学生为中心的教与学；</w:t>
            </w:r>
          </w:p>
          <w:p w14:paraId="57237F98">
            <w:pPr>
              <w:spacing w:line="420" w:lineRule="exact"/>
              <w:rPr>
                <w:rFonts w:hint="eastAsia" w:ascii="宋体" w:hAnsi="宋体"/>
                <w:kern w:val="0"/>
                <w:szCs w:val="21"/>
              </w:rPr>
            </w:pPr>
            <w:r>
              <w:rPr>
                <w:rFonts w:hint="eastAsia" w:ascii="宋体" w:hAnsi="宋体"/>
                <w:kern w:val="0"/>
                <w:szCs w:val="21"/>
              </w:rPr>
              <w:t>二、看待人工智能的4个视角；</w:t>
            </w:r>
          </w:p>
          <w:p w14:paraId="07E2C63C">
            <w:pPr>
              <w:spacing w:line="420" w:lineRule="exact"/>
              <w:rPr>
                <w:rFonts w:hint="eastAsia" w:ascii="宋体" w:hAnsi="宋体"/>
                <w:kern w:val="0"/>
                <w:szCs w:val="21"/>
              </w:rPr>
            </w:pPr>
            <w:r>
              <w:rPr>
                <w:rFonts w:hint="eastAsia" w:ascii="宋体" w:hAnsi="宋体"/>
                <w:kern w:val="0"/>
                <w:szCs w:val="21"/>
              </w:rPr>
              <w:t>三、人工智能赋能人才培养。</w:t>
            </w:r>
          </w:p>
        </w:tc>
      </w:tr>
      <w:tr w14:paraId="74DB9AA2">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60" w:hRule="atLeast"/>
        </w:trPr>
        <w:tc>
          <w:tcPr>
            <w:tcW w:w="425" w:type="pct"/>
            <w:vMerge w:val="continue"/>
            <w:vAlign w:val="center"/>
          </w:tcPr>
          <w:p w14:paraId="01CA8E7C">
            <w:pPr>
              <w:spacing w:line="420" w:lineRule="exact"/>
              <w:jc w:val="center"/>
              <w:rPr>
                <w:rFonts w:hint="eastAsia"/>
                <w:color w:val="2E75B6" w:themeColor="accent5" w:themeShade="BF"/>
                <w:kern w:val="0"/>
                <w:szCs w:val="21"/>
              </w:rPr>
            </w:pPr>
          </w:p>
        </w:tc>
        <w:tc>
          <w:tcPr>
            <w:tcW w:w="738" w:type="pct"/>
            <w:vMerge w:val="continue"/>
            <w:vAlign w:val="center"/>
          </w:tcPr>
          <w:p w14:paraId="52C8DDC6">
            <w:pPr>
              <w:spacing w:line="420" w:lineRule="exact"/>
              <w:jc w:val="center"/>
              <w:rPr>
                <w:rFonts w:hint="eastAsia"/>
                <w:color w:val="2E75B6" w:themeColor="accent5" w:themeShade="BF"/>
                <w:kern w:val="0"/>
                <w:szCs w:val="21"/>
              </w:rPr>
            </w:pPr>
          </w:p>
        </w:tc>
        <w:tc>
          <w:tcPr>
            <w:tcW w:w="650" w:type="pct"/>
            <w:vAlign w:val="center"/>
          </w:tcPr>
          <w:p w14:paraId="7EF0CDA5">
            <w:pPr>
              <w:spacing w:line="420" w:lineRule="exact"/>
              <w:jc w:val="center"/>
              <w:rPr>
                <w:rFonts w:hint="eastAsia" w:ascii="宋体" w:hAnsi="宋体"/>
                <w:kern w:val="0"/>
                <w:szCs w:val="21"/>
              </w:rPr>
            </w:pPr>
            <w:r>
              <w:rPr>
                <w:rFonts w:hint="eastAsia" w:ascii="宋体" w:hAnsi="宋体"/>
                <w:kern w:val="0"/>
                <w:szCs w:val="21"/>
              </w:rPr>
              <w:t>培训专家</w:t>
            </w:r>
          </w:p>
        </w:tc>
        <w:tc>
          <w:tcPr>
            <w:tcW w:w="3187" w:type="pct"/>
            <w:vAlign w:val="center"/>
          </w:tcPr>
          <w:p w14:paraId="770E262E">
            <w:pPr>
              <w:spacing w:line="420" w:lineRule="exact"/>
              <w:jc w:val="center"/>
              <w:rPr>
                <w:rFonts w:hint="eastAsia" w:ascii="宋体" w:hAnsi="宋体"/>
                <w:b/>
                <w:bCs/>
                <w:kern w:val="0"/>
                <w:szCs w:val="21"/>
              </w:rPr>
            </w:pPr>
            <w:r>
              <w:rPr>
                <w:rFonts w:hint="eastAsia" w:ascii="宋体" w:hAnsi="宋体"/>
                <w:b/>
                <w:bCs/>
                <w:kern w:val="0"/>
                <w:szCs w:val="21"/>
              </w:rPr>
              <w:t>清华大学：于歆杰教授</w:t>
            </w:r>
          </w:p>
        </w:tc>
      </w:tr>
      <w:tr w14:paraId="5D16A277">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7" w:hRule="atLeast"/>
        </w:trPr>
        <w:tc>
          <w:tcPr>
            <w:tcW w:w="425" w:type="pct"/>
            <w:vMerge w:val="restart"/>
            <w:vAlign w:val="center"/>
          </w:tcPr>
          <w:p w14:paraId="27C836A8">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07月26日</w:t>
            </w:r>
          </w:p>
        </w:tc>
        <w:tc>
          <w:tcPr>
            <w:tcW w:w="738" w:type="pct"/>
            <w:vMerge w:val="restart"/>
            <w:vAlign w:val="center"/>
          </w:tcPr>
          <w:p w14:paraId="46E5A3F9">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14:00-17:00</w:t>
            </w:r>
          </w:p>
          <w:p w14:paraId="72D0523C">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线下+线上</w:t>
            </w:r>
          </w:p>
          <w:p w14:paraId="3CEFAC47">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均支持回放</w:t>
            </w:r>
          </w:p>
        </w:tc>
        <w:tc>
          <w:tcPr>
            <w:tcW w:w="650" w:type="pct"/>
            <w:shd w:val="clear" w:color="auto" w:fill="CBD3DE" w:themeFill="text2" w:themeFillTint="40"/>
            <w:vAlign w:val="center"/>
          </w:tcPr>
          <w:p w14:paraId="51B0E999">
            <w:pPr>
              <w:spacing w:line="420" w:lineRule="exact"/>
              <w:jc w:val="center"/>
              <w:rPr>
                <w:rFonts w:hint="eastAsia" w:ascii="宋体" w:hAnsi="宋体"/>
                <w:b/>
                <w:kern w:val="0"/>
                <w:szCs w:val="21"/>
              </w:rPr>
            </w:pPr>
            <w:r>
              <w:rPr>
                <w:rFonts w:hint="eastAsia" w:ascii="宋体" w:hAnsi="宋体"/>
                <w:b/>
                <w:kern w:val="0"/>
                <w:szCs w:val="21"/>
              </w:rPr>
              <w:t>培训主题</w:t>
            </w:r>
          </w:p>
        </w:tc>
        <w:tc>
          <w:tcPr>
            <w:tcW w:w="3187" w:type="pct"/>
            <w:shd w:val="clear" w:color="auto" w:fill="CBD3DE" w:themeFill="text2" w:themeFillTint="40"/>
            <w:vAlign w:val="center"/>
          </w:tcPr>
          <w:p w14:paraId="0AFE6934">
            <w:pPr>
              <w:spacing w:line="420" w:lineRule="exact"/>
              <w:jc w:val="center"/>
              <w:rPr>
                <w:rFonts w:hint="eastAsia" w:ascii="宋体" w:hAnsi="宋体"/>
                <w:b/>
                <w:kern w:val="0"/>
                <w:szCs w:val="21"/>
              </w:rPr>
            </w:pPr>
            <w:r>
              <w:rPr>
                <w:rFonts w:hint="eastAsia" w:ascii="宋体" w:hAnsi="宋体"/>
                <w:b/>
                <w:kern w:val="0"/>
                <w:szCs w:val="21"/>
              </w:rPr>
              <w:t>基于生成式人工智能的智慧课程建设与实践案例分享</w:t>
            </w:r>
          </w:p>
        </w:tc>
      </w:tr>
      <w:tr w14:paraId="1C720CF8">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2075" w:hRule="atLeast"/>
        </w:trPr>
        <w:tc>
          <w:tcPr>
            <w:tcW w:w="425" w:type="pct"/>
            <w:vMerge w:val="continue"/>
            <w:vAlign w:val="center"/>
          </w:tcPr>
          <w:p w14:paraId="4863A05F">
            <w:pPr>
              <w:spacing w:line="420" w:lineRule="exact"/>
              <w:jc w:val="center"/>
              <w:rPr>
                <w:rFonts w:hint="eastAsia"/>
                <w:color w:val="2E75B6" w:themeColor="accent5" w:themeShade="BF"/>
                <w:kern w:val="0"/>
                <w:szCs w:val="21"/>
              </w:rPr>
            </w:pPr>
          </w:p>
        </w:tc>
        <w:tc>
          <w:tcPr>
            <w:tcW w:w="738" w:type="pct"/>
            <w:vMerge w:val="continue"/>
            <w:vAlign w:val="center"/>
          </w:tcPr>
          <w:p w14:paraId="310C40FE">
            <w:pPr>
              <w:spacing w:line="420" w:lineRule="exact"/>
              <w:jc w:val="center"/>
              <w:rPr>
                <w:rFonts w:hint="eastAsia"/>
                <w:color w:val="2E75B6" w:themeColor="accent5" w:themeShade="BF"/>
                <w:kern w:val="0"/>
                <w:szCs w:val="21"/>
              </w:rPr>
            </w:pPr>
          </w:p>
        </w:tc>
        <w:tc>
          <w:tcPr>
            <w:tcW w:w="650" w:type="pct"/>
            <w:vAlign w:val="center"/>
          </w:tcPr>
          <w:p w14:paraId="3E261A01">
            <w:pPr>
              <w:spacing w:line="420" w:lineRule="exact"/>
              <w:jc w:val="center"/>
              <w:rPr>
                <w:rFonts w:hint="eastAsia" w:ascii="宋体" w:hAnsi="宋体"/>
                <w:kern w:val="0"/>
                <w:szCs w:val="21"/>
              </w:rPr>
            </w:pPr>
            <w:r>
              <w:rPr>
                <w:rFonts w:hint="eastAsia" w:ascii="宋体" w:hAnsi="宋体"/>
                <w:kern w:val="0"/>
                <w:szCs w:val="21"/>
              </w:rPr>
              <w:t>培训内容</w:t>
            </w:r>
          </w:p>
        </w:tc>
        <w:tc>
          <w:tcPr>
            <w:tcW w:w="3187" w:type="pct"/>
            <w:vAlign w:val="center"/>
          </w:tcPr>
          <w:p w14:paraId="56C06803">
            <w:pPr>
              <w:spacing w:line="420" w:lineRule="exact"/>
              <w:rPr>
                <w:rFonts w:hint="eastAsia" w:ascii="宋体" w:hAnsi="宋体"/>
                <w:kern w:val="0"/>
                <w:szCs w:val="21"/>
              </w:rPr>
            </w:pPr>
            <w:r>
              <w:rPr>
                <w:rFonts w:hint="eastAsia" w:ascii="宋体" w:hAnsi="宋体"/>
                <w:kern w:val="0"/>
                <w:szCs w:val="21"/>
              </w:rPr>
              <w:t>一、对比分析国内外高校开展智慧课程建设的标准与内涵；</w:t>
            </w:r>
          </w:p>
          <w:p w14:paraId="2E631827">
            <w:pPr>
              <w:spacing w:line="420" w:lineRule="exact"/>
              <w:rPr>
                <w:rFonts w:hint="eastAsia" w:ascii="宋体" w:hAnsi="宋体"/>
                <w:kern w:val="0"/>
                <w:szCs w:val="21"/>
              </w:rPr>
            </w:pPr>
            <w:r>
              <w:rPr>
                <w:rFonts w:hint="eastAsia" w:ascii="宋体" w:hAnsi="宋体"/>
                <w:kern w:val="0"/>
                <w:szCs w:val="21"/>
              </w:rPr>
              <w:t>二、国内高校开展智慧课程建设的方案与实践案例；</w:t>
            </w:r>
          </w:p>
          <w:p w14:paraId="2AA25A93">
            <w:pPr>
              <w:spacing w:line="420" w:lineRule="exact"/>
              <w:rPr>
                <w:rFonts w:hint="eastAsia" w:ascii="宋体" w:hAnsi="宋体"/>
                <w:kern w:val="0"/>
                <w:szCs w:val="21"/>
              </w:rPr>
            </w:pPr>
            <w:r>
              <w:rPr>
                <w:rFonts w:hint="eastAsia" w:ascii="宋体" w:hAnsi="宋体"/>
                <w:kern w:val="0"/>
                <w:szCs w:val="21"/>
              </w:rPr>
              <w:t>三、基于生成式人工智能的教学内容重塑与教学方法改革；</w:t>
            </w:r>
          </w:p>
          <w:p w14:paraId="31797B0A">
            <w:pPr>
              <w:spacing w:line="420" w:lineRule="exact"/>
              <w:rPr>
                <w:rFonts w:hint="eastAsia" w:ascii="宋体" w:hAnsi="宋体"/>
                <w:kern w:val="0"/>
                <w:szCs w:val="21"/>
              </w:rPr>
            </w:pPr>
            <w:r>
              <w:rPr>
                <w:rFonts w:hint="eastAsia" w:ascii="宋体" w:hAnsi="宋体"/>
                <w:kern w:val="0"/>
                <w:szCs w:val="21"/>
              </w:rPr>
              <w:t>四、基于DeepSeek的教学设计与智能体开发（工作坊，约1.5小时）。</w:t>
            </w:r>
          </w:p>
        </w:tc>
      </w:tr>
      <w:tr w14:paraId="645C5769">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60" w:hRule="atLeast"/>
        </w:trPr>
        <w:tc>
          <w:tcPr>
            <w:tcW w:w="425" w:type="pct"/>
            <w:vMerge w:val="continue"/>
            <w:vAlign w:val="center"/>
          </w:tcPr>
          <w:p w14:paraId="5E6853DE">
            <w:pPr>
              <w:spacing w:line="420" w:lineRule="exact"/>
              <w:jc w:val="center"/>
              <w:rPr>
                <w:rFonts w:hint="eastAsia"/>
                <w:color w:val="2E75B6" w:themeColor="accent5" w:themeShade="BF"/>
                <w:kern w:val="0"/>
                <w:szCs w:val="21"/>
              </w:rPr>
            </w:pPr>
          </w:p>
        </w:tc>
        <w:tc>
          <w:tcPr>
            <w:tcW w:w="738" w:type="pct"/>
            <w:vMerge w:val="continue"/>
            <w:vAlign w:val="center"/>
          </w:tcPr>
          <w:p w14:paraId="63665A51">
            <w:pPr>
              <w:spacing w:line="420" w:lineRule="exact"/>
              <w:jc w:val="center"/>
              <w:rPr>
                <w:rFonts w:hint="eastAsia"/>
                <w:color w:val="2E75B6" w:themeColor="accent5" w:themeShade="BF"/>
                <w:kern w:val="0"/>
                <w:szCs w:val="21"/>
              </w:rPr>
            </w:pPr>
          </w:p>
        </w:tc>
        <w:tc>
          <w:tcPr>
            <w:tcW w:w="650" w:type="pct"/>
            <w:vAlign w:val="center"/>
          </w:tcPr>
          <w:p w14:paraId="68A3BA21">
            <w:pPr>
              <w:spacing w:line="420" w:lineRule="exact"/>
              <w:jc w:val="center"/>
              <w:rPr>
                <w:rFonts w:hint="eastAsia" w:ascii="宋体" w:hAnsi="宋体"/>
                <w:kern w:val="0"/>
                <w:szCs w:val="21"/>
              </w:rPr>
            </w:pPr>
            <w:r>
              <w:rPr>
                <w:rFonts w:hint="eastAsia" w:ascii="宋体" w:hAnsi="宋体"/>
                <w:kern w:val="0"/>
                <w:szCs w:val="21"/>
              </w:rPr>
              <w:t>培训专家</w:t>
            </w:r>
          </w:p>
        </w:tc>
        <w:tc>
          <w:tcPr>
            <w:tcW w:w="3187" w:type="pct"/>
            <w:vAlign w:val="center"/>
          </w:tcPr>
          <w:p w14:paraId="6C28629F">
            <w:pPr>
              <w:spacing w:line="420" w:lineRule="exact"/>
              <w:jc w:val="center"/>
              <w:rPr>
                <w:rFonts w:hint="eastAsia" w:ascii="宋体" w:hAnsi="宋体"/>
                <w:b/>
                <w:bCs/>
                <w:kern w:val="0"/>
                <w:szCs w:val="21"/>
              </w:rPr>
            </w:pPr>
            <w:r>
              <w:rPr>
                <w:rFonts w:hint="eastAsia" w:ascii="宋体" w:hAnsi="宋体"/>
                <w:b/>
                <w:bCs/>
                <w:kern w:val="0"/>
                <w:szCs w:val="21"/>
              </w:rPr>
              <w:t>上海交通大学：余建波老师</w:t>
            </w:r>
          </w:p>
        </w:tc>
      </w:tr>
      <w:tr w14:paraId="5AAF9A1F">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7" w:hRule="atLeast"/>
        </w:trPr>
        <w:tc>
          <w:tcPr>
            <w:tcW w:w="425" w:type="pct"/>
            <w:vMerge w:val="restart"/>
            <w:vAlign w:val="center"/>
          </w:tcPr>
          <w:p w14:paraId="4592357B">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07月27日</w:t>
            </w:r>
          </w:p>
        </w:tc>
        <w:tc>
          <w:tcPr>
            <w:tcW w:w="738" w:type="pct"/>
            <w:vMerge w:val="restart"/>
            <w:vAlign w:val="center"/>
          </w:tcPr>
          <w:p w14:paraId="151A7D76">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09:00-12:00</w:t>
            </w:r>
          </w:p>
          <w:p w14:paraId="344BE02D">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线下+线上</w:t>
            </w:r>
          </w:p>
          <w:p w14:paraId="5DE3DCB0">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均支持回放</w:t>
            </w:r>
          </w:p>
        </w:tc>
        <w:tc>
          <w:tcPr>
            <w:tcW w:w="650" w:type="pct"/>
            <w:shd w:val="clear" w:color="auto" w:fill="CBD3DE" w:themeFill="text2" w:themeFillTint="40"/>
            <w:vAlign w:val="center"/>
          </w:tcPr>
          <w:p w14:paraId="09962A93">
            <w:pPr>
              <w:spacing w:line="420" w:lineRule="exact"/>
              <w:jc w:val="center"/>
              <w:rPr>
                <w:rFonts w:hint="eastAsia" w:ascii="宋体" w:hAnsi="宋体"/>
                <w:b/>
                <w:kern w:val="0"/>
                <w:szCs w:val="21"/>
              </w:rPr>
            </w:pPr>
            <w:r>
              <w:rPr>
                <w:rFonts w:hint="eastAsia" w:ascii="宋体" w:hAnsi="宋体"/>
                <w:b/>
                <w:kern w:val="0"/>
                <w:szCs w:val="21"/>
              </w:rPr>
              <w:t>培训主题</w:t>
            </w:r>
          </w:p>
        </w:tc>
        <w:tc>
          <w:tcPr>
            <w:tcW w:w="3187" w:type="pct"/>
            <w:shd w:val="clear" w:color="auto" w:fill="CBD3DE" w:themeFill="text2" w:themeFillTint="40"/>
            <w:vAlign w:val="center"/>
          </w:tcPr>
          <w:p w14:paraId="60EC0CB0">
            <w:pPr>
              <w:spacing w:line="420" w:lineRule="exact"/>
              <w:jc w:val="center"/>
              <w:rPr>
                <w:rFonts w:hint="eastAsia" w:ascii="宋体" w:hAnsi="宋体"/>
                <w:b/>
                <w:kern w:val="0"/>
                <w:szCs w:val="21"/>
              </w:rPr>
            </w:pPr>
            <w:r>
              <w:rPr>
                <w:rFonts w:hint="eastAsia" w:ascii="宋体" w:hAnsi="宋体"/>
                <w:b/>
                <w:kern w:val="0"/>
                <w:szCs w:val="21"/>
              </w:rPr>
              <w:t>从数字化到数智化：数智赋能教学创新设计与实践</w:t>
            </w:r>
          </w:p>
        </w:tc>
      </w:tr>
      <w:tr w14:paraId="4D15CECC">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3000" w:hRule="atLeast"/>
        </w:trPr>
        <w:tc>
          <w:tcPr>
            <w:tcW w:w="425" w:type="pct"/>
            <w:vMerge w:val="continue"/>
            <w:vAlign w:val="center"/>
          </w:tcPr>
          <w:p w14:paraId="1DB87D77">
            <w:pPr>
              <w:spacing w:line="420" w:lineRule="exact"/>
              <w:jc w:val="center"/>
              <w:rPr>
                <w:rFonts w:hint="eastAsia"/>
                <w:color w:val="2E75B6" w:themeColor="accent5" w:themeShade="BF"/>
                <w:kern w:val="0"/>
                <w:szCs w:val="21"/>
              </w:rPr>
            </w:pPr>
          </w:p>
        </w:tc>
        <w:tc>
          <w:tcPr>
            <w:tcW w:w="738" w:type="pct"/>
            <w:vMerge w:val="continue"/>
            <w:vAlign w:val="center"/>
          </w:tcPr>
          <w:p w14:paraId="49B20EC7">
            <w:pPr>
              <w:spacing w:line="420" w:lineRule="exact"/>
              <w:jc w:val="center"/>
              <w:rPr>
                <w:rFonts w:hint="eastAsia"/>
                <w:color w:val="2E75B6" w:themeColor="accent5" w:themeShade="BF"/>
                <w:kern w:val="0"/>
                <w:szCs w:val="21"/>
              </w:rPr>
            </w:pPr>
          </w:p>
        </w:tc>
        <w:tc>
          <w:tcPr>
            <w:tcW w:w="650" w:type="pct"/>
            <w:vAlign w:val="center"/>
          </w:tcPr>
          <w:p w14:paraId="4EEDCC3F">
            <w:pPr>
              <w:spacing w:line="420" w:lineRule="exact"/>
              <w:jc w:val="center"/>
              <w:rPr>
                <w:rFonts w:hint="eastAsia" w:ascii="宋体" w:hAnsi="宋体"/>
                <w:kern w:val="0"/>
                <w:szCs w:val="21"/>
              </w:rPr>
            </w:pPr>
            <w:r>
              <w:rPr>
                <w:rFonts w:hint="eastAsia" w:ascii="宋体" w:hAnsi="宋体"/>
                <w:kern w:val="0"/>
                <w:szCs w:val="21"/>
              </w:rPr>
              <w:t>培训内容</w:t>
            </w:r>
          </w:p>
        </w:tc>
        <w:tc>
          <w:tcPr>
            <w:tcW w:w="3187" w:type="pct"/>
            <w:vAlign w:val="center"/>
          </w:tcPr>
          <w:p w14:paraId="13C17291">
            <w:pPr>
              <w:spacing w:line="420" w:lineRule="exact"/>
              <w:rPr>
                <w:rFonts w:hint="eastAsia" w:ascii="宋体" w:hAnsi="宋体"/>
                <w:kern w:val="0"/>
                <w:szCs w:val="21"/>
              </w:rPr>
            </w:pPr>
            <w:r>
              <w:rPr>
                <w:rFonts w:hint="eastAsia" w:ascii="宋体" w:hAnsi="宋体"/>
                <w:kern w:val="0"/>
                <w:szCs w:val="21"/>
              </w:rPr>
              <w:t>一、和人工智能做朋友：深度理解大语言模型；</w:t>
            </w:r>
          </w:p>
          <w:p w14:paraId="7F54EACE">
            <w:pPr>
              <w:spacing w:line="420" w:lineRule="exact"/>
              <w:rPr>
                <w:rFonts w:hint="eastAsia" w:ascii="宋体" w:hAnsi="宋体"/>
                <w:kern w:val="0"/>
                <w:szCs w:val="21"/>
              </w:rPr>
            </w:pPr>
            <w:r>
              <w:rPr>
                <w:rFonts w:hint="eastAsia" w:ascii="宋体" w:hAnsi="宋体"/>
                <w:kern w:val="0"/>
                <w:szCs w:val="21"/>
              </w:rPr>
              <w:t>二、数智赋能教学途径：数智赋能教学重构与教师数智能力发展；</w:t>
            </w:r>
          </w:p>
          <w:p w14:paraId="77C0E1A2">
            <w:pPr>
              <w:spacing w:line="420" w:lineRule="exact"/>
              <w:rPr>
                <w:rFonts w:hint="eastAsia" w:ascii="宋体" w:hAnsi="宋体"/>
                <w:kern w:val="0"/>
                <w:szCs w:val="21"/>
              </w:rPr>
            </w:pPr>
            <w:r>
              <w:rPr>
                <w:rFonts w:hint="eastAsia" w:ascii="宋体" w:hAnsi="宋体"/>
                <w:kern w:val="0"/>
                <w:szCs w:val="21"/>
              </w:rPr>
              <w:t>三、数智赋能教学实施：基于AI智能助教的智慧教学设计与实践。</w:t>
            </w:r>
          </w:p>
          <w:p w14:paraId="3D9D0D58">
            <w:pPr>
              <w:spacing w:line="420" w:lineRule="exact"/>
              <w:rPr>
                <w:rFonts w:hint="eastAsia" w:ascii="宋体" w:hAnsi="宋体"/>
                <w:kern w:val="0"/>
                <w:szCs w:val="21"/>
              </w:rPr>
            </w:pPr>
            <w:r>
              <w:rPr>
                <w:rFonts w:hint="eastAsia" w:ascii="宋体" w:hAnsi="宋体"/>
                <w:kern w:val="0"/>
                <w:szCs w:val="21"/>
              </w:rPr>
              <w:t>备注：在上述报告内容中深度分析AI能够做什么，不能做什么；DeepSeek应用于教学的使用技巧；如何零代码开发互动数智资源；如何基于智能助教设计实践数智赋能教学。每一部分内容都有相应的案例演示，通过理论讲解与案例演示，帮助老师深度理解数智赋能教学的相关理论理念、数智赋能教学设计实践途径与方法。</w:t>
            </w:r>
          </w:p>
        </w:tc>
      </w:tr>
      <w:tr w14:paraId="6D2D23AB">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60" w:hRule="atLeast"/>
        </w:trPr>
        <w:tc>
          <w:tcPr>
            <w:tcW w:w="425" w:type="pct"/>
            <w:vMerge w:val="continue"/>
            <w:vAlign w:val="center"/>
          </w:tcPr>
          <w:p w14:paraId="58AB3C2E">
            <w:pPr>
              <w:spacing w:line="420" w:lineRule="exact"/>
              <w:jc w:val="center"/>
              <w:rPr>
                <w:rFonts w:hint="eastAsia"/>
                <w:color w:val="2E75B6" w:themeColor="accent5" w:themeShade="BF"/>
                <w:kern w:val="0"/>
                <w:szCs w:val="21"/>
              </w:rPr>
            </w:pPr>
          </w:p>
        </w:tc>
        <w:tc>
          <w:tcPr>
            <w:tcW w:w="738" w:type="pct"/>
            <w:vMerge w:val="continue"/>
            <w:vAlign w:val="center"/>
          </w:tcPr>
          <w:p w14:paraId="3C3082E8">
            <w:pPr>
              <w:spacing w:line="420" w:lineRule="exact"/>
              <w:jc w:val="center"/>
              <w:rPr>
                <w:rFonts w:hint="eastAsia"/>
                <w:color w:val="2E75B6" w:themeColor="accent5" w:themeShade="BF"/>
                <w:kern w:val="0"/>
                <w:szCs w:val="21"/>
              </w:rPr>
            </w:pPr>
          </w:p>
        </w:tc>
        <w:tc>
          <w:tcPr>
            <w:tcW w:w="650" w:type="pct"/>
            <w:vAlign w:val="center"/>
          </w:tcPr>
          <w:p w14:paraId="2C1AE216">
            <w:pPr>
              <w:spacing w:line="420" w:lineRule="exact"/>
              <w:jc w:val="center"/>
              <w:rPr>
                <w:rFonts w:hint="eastAsia" w:ascii="宋体" w:hAnsi="宋体"/>
                <w:kern w:val="0"/>
                <w:szCs w:val="21"/>
              </w:rPr>
            </w:pPr>
            <w:r>
              <w:rPr>
                <w:rFonts w:hint="eastAsia" w:ascii="宋体" w:hAnsi="宋体"/>
                <w:kern w:val="0"/>
                <w:szCs w:val="21"/>
              </w:rPr>
              <w:t>培训专家</w:t>
            </w:r>
          </w:p>
        </w:tc>
        <w:tc>
          <w:tcPr>
            <w:tcW w:w="3187" w:type="pct"/>
            <w:vAlign w:val="center"/>
          </w:tcPr>
          <w:p w14:paraId="1E603DBC">
            <w:pPr>
              <w:spacing w:line="420" w:lineRule="exact"/>
              <w:jc w:val="center"/>
              <w:rPr>
                <w:rFonts w:hint="eastAsia" w:ascii="宋体" w:hAnsi="宋体"/>
                <w:b/>
                <w:bCs/>
                <w:kern w:val="0"/>
                <w:szCs w:val="21"/>
              </w:rPr>
            </w:pPr>
            <w:r>
              <w:rPr>
                <w:rFonts w:hint="eastAsia" w:ascii="宋体" w:hAnsi="宋体"/>
                <w:b/>
                <w:bCs/>
                <w:kern w:val="0"/>
                <w:szCs w:val="21"/>
              </w:rPr>
              <w:t>陕西师范大学：何聚厚教授</w:t>
            </w:r>
          </w:p>
        </w:tc>
      </w:tr>
      <w:tr w14:paraId="5F599951">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457" w:hRule="atLeast"/>
        </w:trPr>
        <w:tc>
          <w:tcPr>
            <w:tcW w:w="425" w:type="pct"/>
            <w:vMerge w:val="restart"/>
            <w:vAlign w:val="center"/>
          </w:tcPr>
          <w:p w14:paraId="77BE572C">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07月27日</w:t>
            </w:r>
          </w:p>
        </w:tc>
        <w:tc>
          <w:tcPr>
            <w:tcW w:w="738" w:type="pct"/>
            <w:vMerge w:val="restart"/>
            <w:vAlign w:val="center"/>
          </w:tcPr>
          <w:p w14:paraId="5C231D28">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14:00-17:00</w:t>
            </w:r>
          </w:p>
          <w:p w14:paraId="4A227035">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线下+线上</w:t>
            </w:r>
          </w:p>
          <w:p w14:paraId="26377194">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均支持回放</w:t>
            </w:r>
          </w:p>
        </w:tc>
        <w:tc>
          <w:tcPr>
            <w:tcW w:w="650" w:type="pct"/>
            <w:shd w:val="clear" w:color="auto" w:fill="CBD3DE" w:themeFill="text2" w:themeFillTint="40"/>
            <w:vAlign w:val="center"/>
          </w:tcPr>
          <w:p w14:paraId="380D09D1">
            <w:pPr>
              <w:spacing w:line="420" w:lineRule="exact"/>
              <w:jc w:val="center"/>
              <w:rPr>
                <w:rFonts w:hint="eastAsia" w:ascii="宋体" w:hAnsi="宋体"/>
                <w:b/>
                <w:kern w:val="0"/>
                <w:szCs w:val="21"/>
              </w:rPr>
            </w:pPr>
            <w:r>
              <w:rPr>
                <w:rFonts w:hint="eastAsia" w:ascii="宋体" w:hAnsi="宋体"/>
                <w:b/>
                <w:kern w:val="0"/>
                <w:szCs w:val="21"/>
              </w:rPr>
              <w:t>培训主题</w:t>
            </w:r>
          </w:p>
        </w:tc>
        <w:tc>
          <w:tcPr>
            <w:tcW w:w="3187" w:type="pct"/>
            <w:shd w:val="clear" w:color="auto" w:fill="CBD3DE" w:themeFill="text2" w:themeFillTint="40"/>
            <w:vAlign w:val="center"/>
          </w:tcPr>
          <w:p w14:paraId="673E629A">
            <w:pPr>
              <w:spacing w:line="420" w:lineRule="exact"/>
              <w:jc w:val="center"/>
              <w:rPr>
                <w:rFonts w:hint="eastAsia" w:ascii="宋体" w:hAnsi="宋体"/>
                <w:b/>
                <w:kern w:val="0"/>
                <w:szCs w:val="21"/>
              </w:rPr>
            </w:pPr>
            <w:r>
              <w:rPr>
                <w:rFonts w:hint="eastAsia" w:ascii="宋体" w:hAnsi="宋体"/>
                <w:b/>
                <w:kern w:val="0"/>
                <w:szCs w:val="21"/>
              </w:rPr>
              <w:t>人工智能时代的教育教学创新—案例、理念与方法</w:t>
            </w:r>
          </w:p>
        </w:tc>
      </w:tr>
      <w:tr w14:paraId="6D49D1CA">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897" w:hRule="atLeast"/>
        </w:trPr>
        <w:tc>
          <w:tcPr>
            <w:tcW w:w="425" w:type="pct"/>
            <w:vMerge w:val="continue"/>
            <w:vAlign w:val="center"/>
          </w:tcPr>
          <w:p w14:paraId="0B5B9D6F">
            <w:pPr>
              <w:spacing w:line="420" w:lineRule="exact"/>
              <w:jc w:val="center"/>
              <w:rPr>
                <w:rFonts w:hint="eastAsia"/>
                <w:color w:val="2E75B6" w:themeColor="accent5" w:themeShade="BF"/>
                <w:kern w:val="0"/>
                <w:szCs w:val="21"/>
              </w:rPr>
            </w:pPr>
          </w:p>
        </w:tc>
        <w:tc>
          <w:tcPr>
            <w:tcW w:w="738" w:type="pct"/>
            <w:vMerge w:val="continue"/>
            <w:vAlign w:val="center"/>
          </w:tcPr>
          <w:p w14:paraId="54B3591B">
            <w:pPr>
              <w:spacing w:line="420" w:lineRule="exact"/>
              <w:jc w:val="center"/>
              <w:rPr>
                <w:rFonts w:hint="eastAsia"/>
                <w:color w:val="2E75B6" w:themeColor="accent5" w:themeShade="BF"/>
                <w:kern w:val="0"/>
                <w:szCs w:val="21"/>
              </w:rPr>
            </w:pPr>
          </w:p>
        </w:tc>
        <w:tc>
          <w:tcPr>
            <w:tcW w:w="650" w:type="pct"/>
            <w:vAlign w:val="center"/>
          </w:tcPr>
          <w:p w14:paraId="7F6E39F8">
            <w:pPr>
              <w:spacing w:line="420" w:lineRule="exact"/>
              <w:jc w:val="center"/>
              <w:rPr>
                <w:rFonts w:hint="eastAsia" w:ascii="宋体" w:hAnsi="宋体"/>
                <w:kern w:val="0"/>
                <w:szCs w:val="21"/>
              </w:rPr>
            </w:pPr>
            <w:r>
              <w:rPr>
                <w:rFonts w:hint="eastAsia" w:ascii="宋体" w:hAnsi="宋体"/>
                <w:kern w:val="0"/>
                <w:szCs w:val="21"/>
              </w:rPr>
              <w:t>培训内容</w:t>
            </w:r>
          </w:p>
        </w:tc>
        <w:tc>
          <w:tcPr>
            <w:tcW w:w="3187" w:type="pct"/>
            <w:vAlign w:val="center"/>
          </w:tcPr>
          <w:p w14:paraId="42B2E524">
            <w:pPr>
              <w:spacing w:line="420" w:lineRule="exact"/>
              <w:rPr>
                <w:rFonts w:hint="eastAsia" w:ascii="宋体" w:hAnsi="宋体"/>
                <w:kern w:val="0"/>
                <w:szCs w:val="21"/>
              </w:rPr>
            </w:pPr>
            <w:r>
              <w:rPr>
                <w:rFonts w:hint="eastAsia" w:ascii="宋体" w:hAnsi="宋体"/>
                <w:kern w:val="0"/>
                <w:szCs w:val="21"/>
              </w:rPr>
              <w:t>一、理解数智时代的高校教学及发展趋势；</w:t>
            </w:r>
          </w:p>
          <w:p w14:paraId="640D6E44">
            <w:pPr>
              <w:spacing w:line="420" w:lineRule="exact"/>
              <w:rPr>
                <w:rFonts w:hint="eastAsia" w:ascii="宋体" w:hAnsi="宋体"/>
                <w:kern w:val="0"/>
                <w:szCs w:val="21"/>
              </w:rPr>
            </w:pPr>
            <w:r>
              <w:rPr>
                <w:rFonts w:hint="eastAsia" w:ascii="宋体" w:hAnsi="宋体"/>
                <w:kern w:val="0"/>
                <w:szCs w:val="21"/>
              </w:rPr>
              <w:t xml:space="preserve">二、AI赋能高校教学模式创新的方法与思路; </w:t>
            </w:r>
          </w:p>
          <w:p w14:paraId="724C1EE3">
            <w:pPr>
              <w:spacing w:line="420" w:lineRule="exact"/>
              <w:rPr>
                <w:rFonts w:hint="eastAsia" w:ascii="宋体" w:hAnsi="宋体"/>
                <w:kern w:val="0"/>
                <w:szCs w:val="21"/>
              </w:rPr>
            </w:pPr>
            <w:r>
              <w:rPr>
                <w:rFonts w:hint="eastAsia" w:ascii="宋体" w:hAnsi="宋体"/>
                <w:kern w:val="0"/>
                <w:szCs w:val="21"/>
              </w:rPr>
              <w:t>三、数智时代的教师专业发展路径</w:t>
            </w:r>
          </w:p>
        </w:tc>
      </w:tr>
      <w:tr w14:paraId="63A82BF2">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324" w:hRule="atLeast"/>
        </w:trPr>
        <w:tc>
          <w:tcPr>
            <w:tcW w:w="425" w:type="pct"/>
            <w:vMerge w:val="continue"/>
            <w:vAlign w:val="center"/>
          </w:tcPr>
          <w:p w14:paraId="44021ECE">
            <w:pPr>
              <w:spacing w:line="420" w:lineRule="exact"/>
              <w:jc w:val="center"/>
              <w:rPr>
                <w:rFonts w:hint="eastAsia"/>
                <w:color w:val="2E75B6" w:themeColor="accent5" w:themeShade="BF"/>
                <w:kern w:val="0"/>
                <w:szCs w:val="21"/>
              </w:rPr>
            </w:pPr>
          </w:p>
        </w:tc>
        <w:tc>
          <w:tcPr>
            <w:tcW w:w="738" w:type="pct"/>
            <w:vMerge w:val="continue"/>
            <w:vAlign w:val="center"/>
          </w:tcPr>
          <w:p w14:paraId="20649862">
            <w:pPr>
              <w:spacing w:line="420" w:lineRule="exact"/>
              <w:jc w:val="center"/>
              <w:rPr>
                <w:rFonts w:hint="eastAsia"/>
                <w:color w:val="2E75B6" w:themeColor="accent5" w:themeShade="BF"/>
                <w:kern w:val="0"/>
                <w:szCs w:val="21"/>
              </w:rPr>
            </w:pPr>
          </w:p>
        </w:tc>
        <w:tc>
          <w:tcPr>
            <w:tcW w:w="650" w:type="pct"/>
            <w:vAlign w:val="center"/>
          </w:tcPr>
          <w:p w14:paraId="4E36AF62">
            <w:pPr>
              <w:spacing w:line="420" w:lineRule="exact"/>
              <w:jc w:val="center"/>
              <w:rPr>
                <w:rFonts w:hint="eastAsia" w:ascii="宋体" w:hAnsi="宋体"/>
                <w:kern w:val="0"/>
                <w:szCs w:val="21"/>
              </w:rPr>
            </w:pPr>
            <w:r>
              <w:rPr>
                <w:rFonts w:hint="eastAsia" w:ascii="宋体" w:hAnsi="宋体"/>
                <w:kern w:val="0"/>
                <w:szCs w:val="21"/>
              </w:rPr>
              <w:t>培训专家</w:t>
            </w:r>
          </w:p>
        </w:tc>
        <w:tc>
          <w:tcPr>
            <w:tcW w:w="3187" w:type="pct"/>
            <w:vAlign w:val="center"/>
          </w:tcPr>
          <w:p w14:paraId="22F31CE4">
            <w:pPr>
              <w:spacing w:line="420" w:lineRule="exact"/>
              <w:jc w:val="center"/>
              <w:rPr>
                <w:rFonts w:hint="eastAsia" w:ascii="宋体" w:hAnsi="宋体"/>
                <w:b/>
                <w:bCs/>
                <w:kern w:val="0"/>
                <w:szCs w:val="21"/>
              </w:rPr>
            </w:pPr>
            <w:r>
              <w:rPr>
                <w:rFonts w:hint="eastAsia" w:ascii="宋体" w:hAnsi="宋体"/>
                <w:b/>
                <w:bCs/>
                <w:kern w:val="0"/>
                <w:szCs w:val="21"/>
              </w:rPr>
              <w:t>北京大学：冯菲博士</w:t>
            </w:r>
          </w:p>
        </w:tc>
      </w:tr>
      <w:tr w14:paraId="08F9063E">
        <w:tblPrEx>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top w:w="0" w:type="dxa"/>
            <w:left w:w="108" w:type="dxa"/>
            <w:bottom w:w="0" w:type="dxa"/>
            <w:right w:w="108" w:type="dxa"/>
          </w:tblCellMar>
        </w:tblPrEx>
        <w:trPr>
          <w:trHeight w:val="501" w:hRule="atLeast"/>
        </w:trPr>
        <w:tc>
          <w:tcPr>
            <w:tcW w:w="1163" w:type="pct"/>
            <w:gridSpan w:val="2"/>
            <w:vAlign w:val="center"/>
          </w:tcPr>
          <w:p w14:paraId="0EF19E6D">
            <w:pPr>
              <w:spacing w:line="420" w:lineRule="exact"/>
              <w:jc w:val="center"/>
              <w:rPr>
                <w:rFonts w:hint="eastAsia"/>
                <w:color w:val="2E75B6" w:themeColor="accent5" w:themeShade="BF"/>
                <w:kern w:val="0"/>
                <w:szCs w:val="21"/>
              </w:rPr>
            </w:pPr>
            <w:r>
              <w:rPr>
                <w:rFonts w:hint="eastAsia"/>
                <w:color w:val="2E75B6" w:themeColor="accent5" w:themeShade="BF"/>
                <w:kern w:val="0"/>
                <w:szCs w:val="21"/>
              </w:rPr>
              <w:t>07月28日</w:t>
            </w:r>
          </w:p>
        </w:tc>
        <w:tc>
          <w:tcPr>
            <w:tcW w:w="3837" w:type="pct"/>
            <w:gridSpan w:val="2"/>
            <w:vAlign w:val="center"/>
          </w:tcPr>
          <w:p w14:paraId="46215CFC">
            <w:pPr>
              <w:spacing w:line="420" w:lineRule="exact"/>
              <w:jc w:val="center"/>
              <w:rPr>
                <w:rFonts w:hint="eastAsia" w:ascii="宋体" w:hAnsi="宋体"/>
                <w:b/>
                <w:bCs/>
                <w:kern w:val="0"/>
                <w:szCs w:val="21"/>
              </w:rPr>
            </w:pPr>
            <w:r>
              <w:rPr>
                <w:rFonts w:hint="eastAsia" w:ascii="宋体" w:hAnsi="宋体"/>
                <w:b/>
                <w:bCs/>
                <w:kern w:val="0"/>
                <w:szCs w:val="21"/>
              </w:rPr>
              <w:t>返程</w:t>
            </w:r>
          </w:p>
        </w:tc>
      </w:tr>
    </w:tbl>
    <w:p w14:paraId="04C467DB">
      <w:pPr>
        <w:spacing w:after="6" w:afterLines="2" w:line="420" w:lineRule="exact"/>
        <w:ind w:firstLine="480" w:firstLineChars="200"/>
        <w:rPr>
          <w:rFonts w:hint="eastAsia" w:ascii="微软雅黑" w:hAnsi="微软雅黑" w:eastAsia="微软雅黑"/>
          <w:b/>
          <w:szCs w:val="21"/>
        </w:rPr>
      </w:pPr>
      <w:r>
        <w:rPr>
          <w:rFonts w:hint="eastAsia" w:ascii="微软雅黑" w:hAnsi="微软雅黑" w:eastAsia="微软雅黑"/>
          <w:b/>
          <w:sz w:val="24"/>
          <w:szCs w:val="24"/>
        </w:rPr>
        <w:t>六、专家介绍：</w:t>
      </w:r>
      <w:r>
        <w:rPr>
          <w:rFonts w:hint="eastAsia" w:ascii="微软雅黑" w:hAnsi="微软雅黑" w:eastAsia="微软雅黑"/>
          <w:b/>
          <w:szCs w:val="21"/>
        </w:rPr>
        <w:t>（按讲课顺序排序）</w:t>
      </w:r>
    </w:p>
    <w:p w14:paraId="5550445B">
      <w:pPr>
        <w:spacing w:after="62" w:afterLines="20" w:line="420" w:lineRule="exact"/>
        <w:ind w:firstLine="480" w:firstLineChars="200"/>
        <w:rPr>
          <w:rFonts w:ascii="宋体" w:hAnsi="宋体" w:eastAsia="微软雅黑"/>
          <w:b/>
          <w:bCs/>
          <w:sz w:val="24"/>
          <w:szCs w:val="24"/>
        </w:rPr>
      </w:pPr>
      <w:r>
        <w:rPr>
          <w:rFonts w:hint="eastAsia" w:ascii="宋体" w:hAnsi="宋体" w:eastAsia="微软雅黑"/>
          <w:b/>
          <w:bCs/>
          <w:sz w:val="24"/>
          <w:szCs w:val="24"/>
        </w:rPr>
        <w:t>于歆杰，</w:t>
      </w:r>
      <w:r>
        <w:rPr>
          <w:rFonts w:hint="eastAsia" w:ascii="等线" w:hAnsi="等线" w:eastAsia="等线" w:cs="等线"/>
          <w:sz w:val="24"/>
          <w:szCs w:val="24"/>
        </w:rPr>
        <w:t>清华大学教授，人事处处长，人才办主任，国家级教学名师，中国电机工程学会电工理论与新技术专委会主任委员，高等学校电路和信号系统教学与教材研究会理事长，教育部工科基础课程教指委秘书长，清华大学在线/融合式教学指导专家组组长，国际电磁发射杰出贡献Peter Mark奖章、杰出教学奖、宝钢优秀教师特等奖、霍英东教育教学一等奖、北京市教学名师奖、清华大学首届新百年教学成就奖获得者，清华大学首门慕课、标杆课、国家级精品资源共享课、国家级精品在线开放课、国家级课程思政示范课“电路原理”负责人。</w:t>
      </w:r>
    </w:p>
    <w:p w14:paraId="549AEF2C">
      <w:pPr>
        <w:spacing w:line="420" w:lineRule="exact"/>
        <w:ind w:firstLine="480" w:firstLineChars="200"/>
        <w:rPr>
          <w:rFonts w:hint="eastAsia" w:ascii="宋体" w:hAnsi="宋体"/>
          <w:sz w:val="24"/>
          <w:szCs w:val="24"/>
        </w:rPr>
      </w:pPr>
      <w:r>
        <w:rPr>
          <w:rFonts w:hint="eastAsia" w:ascii="微软雅黑" w:hAnsi="微软雅黑" w:eastAsia="微软雅黑"/>
          <w:b/>
          <w:bCs/>
          <w:sz w:val="24"/>
          <w:szCs w:val="24"/>
        </w:rPr>
        <w:t>余建波：</w:t>
      </w:r>
      <w:r>
        <w:rPr>
          <w:rFonts w:hint="eastAsia" w:ascii="宋体" w:hAnsi="宋体"/>
          <w:sz w:val="24"/>
          <w:szCs w:val="24"/>
        </w:rPr>
        <w:t>上海交通大学在线课程负责人，负责上海交通大学慕课课程的建设与推广。现任</w:t>
      </w:r>
      <w:r>
        <w:rPr>
          <w:rFonts w:ascii="宋体" w:hAnsi="宋体"/>
          <w:sz w:val="24"/>
          <w:szCs w:val="24"/>
        </w:rPr>
        <w:t>上海交通大学教务处教学研究办公室主任科员。负责学校各级各类课程建设及申报管理工作。包括在线课程的立项、建设、管理及应用与推广；校级、市级重点课程立项申报、建设管理、验收等工作；校级、市级、国家级一流本科课程的建设、申报、认定与推广工作。同时负责本科教学数字化规划与建设工作，推进课程数字化建设与应用，组织教师开展数字化教学改革与实践。</w:t>
      </w:r>
    </w:p>
    <w:p w14:paraId="59FFD58D">
      <w:pPr>
        <w:spacing w:after="6" w:afterLines="2" w:line="420" w:lineRule="exact"/>
        <w:ind w:firstLine="480" w:firstLineChars="200"/>
        <w:rPr>
          <w:rFonts w:ascii="微软雅黑" w:hAnsi="微软雅黑" w:eastAsia="微软雅黑"/>
          <w:b/>
          <w:bCs/>
          <w:sz w:val="24"/>
          <w:szCs w:val="24"/>
        </w:rPr>
      </w:pPr>
      <w:r>
        <w:rPr>
          <w:rFonts w:hint="eastAsia" w:ascii="微软雅黑" w:hAnsi="微软雅黑" w:eastAsia="微软雅黑"/>
          <w:b/>
          <w:bCs/>
          <w:sz w:val="24"/>
          <w:szCs w:val="24"/>
        </w:rPr>
        <w:t>何聚厚：</w:t>
      </w:r>
      <w:r>
        <w:rPr>
          <w:rFonts w:hint="eastAsia" w:ascii="等线" w:hAnsi="等线" w:eastAsia="等线" w:cs="等线"/>
          <w:sz w:val="24"/>
          <w:szCs w:val="24"/>
          <w:lang w:val="en-CA"/>
        </w:rPr>
        <w:t>博士，教授，博士生导师。陕西师范大学现代教学技术教育部重点实验室副主任。研究领域主要集中在人工智能与教师教育、智慧教学模式创新、技术增强学习、大数据环境下智能信息处理等方面。主持完成项目：1项国家自然科学基金项目；20余项混合式教学应用推广服务指导项目；1项教育部-中国移动基金项目； 1项陕西省高等学校教学改革重点项目。主持在研项目：1项国家自然科学基金项目；1项陕西省社会科学基金项目；多项智慧教学模式创新、混合式教学设计与实践、数字化教学转型等服务指导项目。2009年获宝钢优秀教师奖；2015年获陕西师范大学“启夏英华-中交通力”优秀教师奖；2019年获陕西省教学成果一等奖。作为核心参与人，2018年获国家级教学成果一、二等奖各1项。</w:t>
      </w:r>
    </w:p>
    <w:p w14:paraId="6DEDA8BE">
      <w:pPr>
        <w:spacing w:after="6" w:afterLines="2" w:line="420" w:lineRule="exact"/>
        <w:ind w:firstLine="480" w:firstLineChars="200"/>
        <w:rPr>
          <w:rFonts w:ascii="等线" w:hAnsi="等线" w:eastAsia="等线" w:cs="等线"/>
          <w:sz w:val="24"/>
          <w:szCs w:val="24"/>
          <w:lang w:val="en-CA"/>
        </w:rPr>
      </w:pPr>
      <w:r>
        <w:rPr>
          <w:rFonts w:hint="eastAsia" w:ascii="微软雅黑" w:hAnsi="微软雅黑" w:eastAsia="微软雅黑"/>
          <w:b/>
          <w:bCs/>
          <w:sz w:val="24"/>
          <w:szCs w:val="24"/>
        </w:rPr>
        <w:t>冯  菲：</w:t>
      </w:r>
      <w:r>
        <w:rPr>
          <w:rFonts w:hint="eastAsia" w:ascii="等线" w:hAnsi="等线" w:eastAsia="等线" w:cs="等线"/>
          <w:sz w:val="24"/>
          <w:szCs w:val="24"/>
          <w:lang w:val="en-CA"/>
        </w:rPr>
        <w:t>教育学博士，北京大学教务长办公室数智教育办公室主任，北京大学数字化学习研究中心主任助理，教育部信息化教学能力提升虚拟教研室核心成员，主要研究领域为数智教育、在线教育和混合式教学。开设慕课《教你如何做慕课》（首批国家级线上一流课程）和《混合教学成功要点》等多门课程，培训数十万教师，多次获得北京市教委高等教育教学成果奖一等奖等奖项。</w:t>
      </w:r>
    </w:p>
    <w:p w14:paraId="5FF2CE6B">
      <w:pPr>
        <w:spacing w:after="6" w:afterLines="2" w:line="42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七、培训费用：</w:t>
      </w:r>
    </w:p>
    <w:p w14:paraId="00E5CA19">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学习费用：线上980元/人；线下1980元/人。</w:t>
      </w:r>
    </w:p>
    <w:p w14:paraId="0A86D1CA">
      <w:pPr>
        <w:spacing w:after="62" w:afterLines="20" w:line="420" w:lineRule="exact"/>
        <w:ind w:firstLine="480" w:firstLineChars="200"/>
        <w:rPr>
          <w:rFonts w:hint="eastAsia" w:ascii="宋体" w:hAnsi="宋体"/>
          <w:sz w:val="24"/>
          <w:szCs w:val="24"/>
        </w:rPr>
      </w:pPr>
      <w:r>
        <w:rPr>
          <w:rFonts w:hint="eastAsia" w:ascii="宋体" w:hAnsi="宋体"/>
          <w:sz w:val="24"/>
          <w:szCs w:val="24"/>
        </w:rPr>
        <w:t>团队报名：线上培训学校组织报名19800/校（不限人数）。</w:t>
      </w:r>
    </w:p>
    <w:p w14:paraId="712AE868">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住宿费：350元/间/天（单标同价）</w:t>
      </w:r>
      <w:r>
        <w:rPr>
          <w:rFonts w:hint="eastAsia" w:ascii="宋体" w:hAnsi="宋体"/>
          <w:sz w:val="24"/>
          <w:szCs w:val="24"/>
        </w:rPr>
        <w:t>培训费不含食宿费用，食宿统一安排，费用自理。</w:t>
      </w:r>
    </w:p>
    <w:p w14:paraId="1622C1B3">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培训证书：本次培训结束后由北京华思培教育科技院颁发24学时培训证书。</w:t>
      </w:r>
    </w:p>
    <w:p w14:paraId="4E6DBF13">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收款说明：线上培训由北京格致方</w:t>
      </w:r>
      <w:bookmarkStart w:id="0" w:name="_GoBack"/>
      <w:bookmarkEnd w:id="0"/>
      <w:r>
        <w:rPr>
          <w:rFonts w:hint="eastAsia" w:ascii="等线" w:hAnsi="等线" w:eastAsia="等线" w:cs="等线"/>
          <w:sz w:val="24"/>
          <w:szCs w:val="24"/>
        </w:rPr>
        <w:t xml:space="preserve">略教育科技有限公司收取培训费用并开具发票。线下培训报到当天线下缴费，由陕西卓越信科会展有限公司收取培训费用并开具发票； </w:t>
      </w:r>
    </w:p>
    <w:p w14:paraId="63482DF1">
      <w:pPr>
        <w:spacing w:after="6" w:afterLines="2" w:line="42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八、线上付款方式：</w:t>
      </w:r>
    </w:p>
    <w:p w14:paraId="631761EC">
      <w:pPr>
        <w:spacing w:after="62" w:afterLines="20" w:line="420" w:lineRule="exact"/>
        <w:ind w:firstLine="480" w:firstLineChars="200"/>
        <w:rPr>
          <w:rFonts w:hint="eastAsia" w:ascii="等线" w:hAnsi="等线" w:eastAsia="等线" w:cs="等线"/>
          <w:b/>
          <w:sz w:val="24"/>
          <w:szCs w:val="24"/>
        </w:rPr>
      </w:pPr>
      <w:r>
        <w:rPr>
          <w:rFonts w:hint="eastAsia" w:ascii="等线" w:hAnsi="等线" w:eastAsia="等线" w:cs="等线"/>
          <w:sz w:val="24"/>
          <w:szCs w:val="24"/>
        </w:rPr>
        <w:drawing>
          <wp:anchor distT="0" distB="0" distL="114300" distR="114300" simplePos="0" relativeHeight="251662336" behindDoc="0" locked="0" layoutInCell="1" allowOverlap="1">
            <wp:simplePos x="0" y="0"/>
            <wp:positionH relativeFrom="margin">
              <wp:posOffset>4302760</wp:posOffset>
            </wp:positionH>
            <wp:positionV relativeFrom="paragraph">
              <wp:posOffset>89535</wp:posOffset>
            </wp:positionV>
            <wp:extent cx="1837690" cy="2058670"/>
            <wp:effectExtent l="0" t="0" r="3810" b="1143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7690" cy="2058670"/>
                    </a:xfrm>
                    <a:prstGeom prst="rect">
                      <a:avLst/>
                    </a:prstGeom>
                    <a:noFill/>
                    <a:ln>
                      <a:noFill/>
                    </a:ln>
                  </pic:spPr>
                </pic:pic>
              </a:graphicData>
            </a:graphic>
          </wp:anchor>
        </w:drawing>
      </w:r>
      <w:r>
        <w:rPr>
          <w:rFonts w:hint="eastAsia" w:ascii="等线" w:hAnsi="等线" w:eastAsia="等线" w:cs="等线"/>
          <w:b/>
          <w:sz w:val="24"/>
          <w:szCs w:val="24"/>
        </w:rPr>
        <w:t>方式一：转账汇款</w:t>
      </w:r>
    </w:p>
    <w:p w14:paraId="13147FBE">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转账信息：北京格致方略教育科技有限公司</w:t>
      </w:r>
    </w:p>
    <w:p w14:paraId="147549CF">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账    号：0200209509200061186</w:t>
      </w:r>
    </w:p>
    <w:p w14:paraId="729D3CFF">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开 户 行：中国工商银行北京中环广场支行</w:t>
      </w:r>
    </w:p>
    <w:p w14:paraId="153A08B0">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联 行 号:102100020956</w:t>
      </w:r>
    </w:p>
    <w:p w14:paraId="6E6BF9C3">
      <w:pPr>
        <w:spacing w:after="62" w:afterLines="20" w:line="420" w:lineRule="exact"/>
        <w:ind w:firstLine="480" w:firstLineChars="200"/>
        <w:rPr>
          <w:rFonts w:hint="eastAsia" w:ascii="等线" w:hAnsi="等线" w:eastAsia="等线" w:cs="等线"/>
          <w:b/>
          <w:sz w:val="24"/>
          <w:szCs w:val="24"/>
        </w:rPr>
      </w:pPr>
      <w:r>
        <w:rPr>
          <w:rFonts w:hint="eastAsia" w:ascii="等线" w:hAnsi="等线" w:eastAsia="等线" w:cs="等线"/>
          <w:b/>
          <w:sz w:val="24"/>
          <w:szCs w:val="24"/>
        </w:rPr>
        <w:t>方式二：扫码公务卡支付</w:t>
      </w:r>
    </w:p>
    <w:p w14:paraId="3F59A606">
      <w:pPr>
        <w:spacing w:after="62" w:after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使用微信绑定公务卡后，扫描右侧二维码付款</w:t>
      </w:r>
    </w:p>
    <w:p w14:paraId="6D431B81">
      <w:pPr>
        <w:spacing w:after="6" w:afterLines="2" w:line="420" w:lineRule="exact"/>
        <w:ind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九、报名联系：</w:t>
      </w:r>
    </w:p>
    <w:p w14:paraId="113BD8F3">
      <w:pPr>
        <w:spacing w:before="62" w:beforeLines="20" w:line="42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联系人：</w:t>
      </w:r>
      <w:r>
        <w:rPr>
          <w:rFonts w:hint="eastAsia" w:ascii="等线" w:hAnsi="等线" w:eastAsia="等线" w:cs="等线"/>
          <w:sz w:val="24"/>
          <w:szCs w:val="24"/>
          <w:lang w:val="en-US" w:eastAsia="zh-CN"/>
        </w:rPr>
        <w:t>李云静 18518556168</w:t>
      </w:r>
      <w:r>
        <w:rPr>
          <w:rFonts w:hint="eastAsia" w:ascii="等线" w:hAnsi="等线" w:eastAsia="等线" w:cs="等线"/>
          <w:sz w:val="24"/>
          <w:szCs w:val="24"/>
        </w:rPr>
        <w:t>（</w:t>
      </w:r>
      <w:r>
        <w:rPr>
          <w:rFonts w:hint="eastAsia" w:ascii="等线" w:hAnsi="等线" w:eastAsia="等线" w:cs="等线"/>
          <w:sz w:val="24"/>
          <w:szCs w:val="24"/>
          <w:lang w:val="en-US" w:eastAsia="zh-CN"/>
        </w:rPr>
        <w:t>同微信</w:t>
      </w:r>
      <w:r>
        <w:rPr>
          <w:rFonts w:hint="eastAsia" w:ascii="等线" w:hAnsi="等线" w:eastAsia="等线" w:cs="等线"/>
          <w:sz w:val="24"/>
          <w:szCs w:val="24"/>
        </w:rPr>
        <w:t>） 报名邮箱：</w:t>
      </w: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HYPERLINK "mailto:296272384@qq.com" </w:instrText>
      </w:r>
      <w:r>
        <w:rPr>
          <w:rFonts w:hint="eastAsia" w:ascii="等线" w:hAnsi="等线" w:eastAsia="等线" w:cs="等线"/>
          <w:sz w:val="24"/>
          <w:szCs w:val="24"/>
        </w:rPr>
        <w:fldChar w:fldCharType="separate"/>
      </w:r>
      <w:r>
        <w:rPr>
          <w:rStyle w:val="10"/>
          <w:rFonts w:hint="eastAsia" w:ascii="等线" w:hAnsi="等线" w:eastAsia="等线" w:cs="等线"/>
          <w:sz w:val="24"/>
          <w:szCs w:val="24"/>
          <w:lang w:val="en-US" w:eastAsia="zh-CN"/>
        </w:rPr>
        <w:t>245471788</w:t>
      </w:r>
      <w:r>
        <w:rPr>
          <w:rStyle w:val="10"/>
          <w:rFonts w:hint="eastAsia" w:ascii="等线" w:hAnsi="等线" w:eastAsia="等线" w:cs="等线"/>
          <w:sz w:val="24"/>
          <w:szCs w:val="24"/>
        </w:rPr>
        <w:t>@qq.com</w:t>
      </w:r>
      <w:r>
        <w:rPr>
          <w:rFonts w:hint="eastAsia" w:ascii="等线" w:hAnsi="等线" w:eastAsia="等线" w:cs="等线"/>
          <w:sz w:val="24"/>
          <w:szCs w:val="24"/>
        </w:rPr>
        <w:fldChar w:fldCharType="end"/>
      </w:r>
    </w:p>
    <w:p w14:paraId="538D41FA">
      <w:pPr>
        <w:spacing w:before="62" w:beforeLines="20" w:line="420" w:lineRule="exact"/>
        <w:ind w:firstLine="480" w:firstLineChars="200"/>
        <w:rPr>
          <w:rFonts w:hint="eastAsia" w:ascii="等线" w:hAnsi="等线" w:eastAsia="等线" w:cs="等线"/>
          <w:sz w:val="24"/>
          <w:szCs w:val="24"/>
        </w:rPr>
      </w:pPr>
    </w:p>
    <w:p w14:paraId="773D8DEF">
      <w:pPr>
        <w:spacing w:after="6" w:afterLines="2" w:line="420" w:lineRule="exact"/>
        <w:ind w:firstLine="480" w:firstLineChars="200"/>
        <w:jc w:val="left"/>
        <w:rPr>
          <w:rFonts w:hint="eastAsia" w:ascii="等线" w:hAnsi="等线" w:eastAsia="等线" w:cs="等线"/>
          <w:sz w:val="24"/>
          <w:szCs w:val="24"/>
        </w:rPr>
      </w:pPr>
      <w:r>
        <w:rPr>
          <w:rFonts w:hint="eastAsia" w:ascii="等线" w:hAnsi="等线" w:eastAsia="等线" w:cs="等线"/>
          <w:sz w:val="24"/>
          <w:szCs w:val="24"/>
        </w:rPr>
        <w:drawing>
          <wp:anchor distT="0" distB="0" distL="114300" distR="114300" simplePos="0" relativeHeight="251659264" behindDoc="0" locked="0" layoutInCell="1" allowOverlap="1">
            <wp:simplePos x="0" y="0"/>
            <wp:positionH relativeFrom="column">
              <wp:posOffset>3178175</wp:posOffset>
            </wp:positionH>
            <wp:positionV relativeFrom="paragraph">
              <wp:posOffset>67310</wp:posOffset>
            </wp:positionV>
            <wp:extent cx="1574800" cy="1567180"/>
            <wp:effectExtent l="32385" t="22225" r="56515" b="36195"/>
            <wp:wrapNone/>
            <wp:docPr id="4" name="图片 9" descr="e0c3f10691eeadac3dd53f272510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e0c3f10691eeadac3dd53f272510bd1"/>
                    <pic:cNvPicPr>
                      <a:picLocks noChangeAspect="1"/>
                    </pic:cNvPicPr>
                  </pic:nvPicPr>
                  <pic:blipFill>
                    <a:blip r:embed="rId5"/>
                    <a:stretch>
                      <a:fillRect/>
                    </a:stretch>
                  </pic:blipFill>
                  <pic:spPr>
                    <a:xfrm rot="1802520">
                      <a:off x="0" y="0"/>
                      <a:ext cx="1574800" cy="1567180"/>
                    </a:xfrm>
                    <a:prstGeom prst="rect">
                      <a:avLst/>
                    </a:prstGeom>
                    <a:noFill/>
                    <a:ln>
                      <a:noFill/>
                    </a:ln>
                  </pic:spPr>
                </pic:pic>
              </a:graphicData>
            </a:graphic>
          </wp:anchor>
        </w:drawing>
      </w:r>
      <w:r>
        <w:rPr>
          <w:rFonts w:hint="eastAsia" w:ascii="等线" w:hAnsi="等线" w:eastAsia="等线" w:cs="等线"/>
        </w:rPr>
        <w:drawing>
          <wp:anchor distT="0" distB="0" distL="114300" distR="114300" simplePos="0" relativeHeight="251661312" behindDoc="0" locked="0" layoutInCell="1" allowOverlap="1">
            <wp:simplePos x="0" y="0"/>
            <wp:positionH relativeFrom="margin">
              <wp:posOffset>4767580</wp:posOffset>
            </wp:positionH>
            <wp:positionV relativeFrom="paragraph">
              <wp:posOffset>66040</wp:posOffset>
            </wp:positionV>
            <wp:extent cx="1565275" cy="15652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65275" cy="1565275"/>
                    </a:xfrm>
                    <a:prstGeom prst="rect">
                      <a:avLst/>
                    </a:prstGeom>
                    <a:noFill/>
                    <a:ln>
                      <a:noFill/>
                    </a:ln>
                  </pic:spPr>
                </pic:pic>
              </a:graphicData>
            </a:graphic>
          </wp:anchor>
        </w:drawing>
      </w:r>
    </w:p>
    <w:p w14:paraId="0F7B05FC">
      <w:pPr>
        <w:spacing w:after="6" w:afterLines="2" w:line="420" w:lineRule="exact"/>
        <w:ind w:firstLine="480" w:firstLineChars="200"/>
        <w:jc w:val="right"/>
        <w:rPr>
          <w:rFonts w:hint="eastAsia" w:ascii="等线" w:hAnsi="等线" w:eastAsia="等线" w:cs="等线"/>
          <w:sz w:val="24"/>
          <w:szCs w:val="24"/>
        </w:rPr>
      </w:pPr>
    </w:p>
    <w:p w14:paraId="7DA14745">
      <w:pPr>
        <w:spacing w:after="6" w:afterLines="2" w:line="420" w:lineRule="exact"/>
        <w:ind w:firstLine="480" w:firstLineChars="200"/>
        <w:jc w:val="right"/>
        <w:rPr>
          <w:rFonts w:hint="eastAsia" w:ascii="等线" w:hAnsi="等线" w:eastAsia="等线" w:cs="等线"/>
          <w:sz w:val="24"/>
          <w:szCs w:val="24"/>
        </w:rPr>
      </w:pPr>
      <w:r>
        <w:rPr>
          <w:rFonts w:hint="eastAsia" w:ascii="等线" w:hAnsi="等线" w:eastAsia="等线" w:cs="等线"/>
          <w:sz w:val="24"/>
          <w:szCs w:val="24"/>
        </w:rPr>
        <w:t>北京华思培教育科技院</w:t>
      </w:r>
    </w:p>
    <w:p w14:paraId="2F382125">
      <w:pPr>
        <w:spacing w:after="6" w:afterLines="2" w:line="420" w:lineRule="exact"/>
        <w:ind w:firstLine="480" w:firstLineChars="200"/>
        <w:jc w:val="right"/>
        <w:rPr>
          <w:rFonts w:hint="eastAsia" w:ascii="等线" w:hAnsi="等线" w:eastAsia="等线" w:cs="等线"/>
          <w:sz w:val="24"/>
          <w:szCs w:val="24"/>
        </w:rPr>
      </w:pPr>
      <w:r>
        <w:rPr>
          <w:rFonts w:hint="eastAsia" w:ascii="等线" w:hAnsi="等线" w:eastAsia="等线" w:cs="等线"/>
          <w:sz w:val="24"/>
          <w:szCs w:val="24"/>
        </w:rPr>
        <w:t>北京格致方略教育科技有限公司</w:t>
      </w:r>
    </w:p>
    <w:p w14:paraId="4E8F31B0">
      <w:pPr>
        <w:spacing w:after="6" w:afterLines="2" w:line="420" w:lineRule="exact"/>
        <w:ind w:firstLine="480" w:firstLineChars="200"/>
        <w:jc w:val="right"/>
        <w:rPr>
          <w:rFonts w:hint="eastAsia" w:ascii="等线" w:hAnsi="等线" w:eastAsia="等线" w:cs="等线"/>
          <w:sz w:val="24"/>
          <w:szCs w:val="24"/>
        </w:rPr>
      </w:pPr>
      <w:r>
        <w:rPr>
          <w:rFonts w:hint="eastAsia" w:ascii="等线" w:hAnsi="等线" w:eastAsia="等线" w:cs="等线"/>
          <w:sz w:val="24"/>
          <w:szCs w:val="24"/>
        </w:rPr>
        <w:t>二零二五年五月</w:t>
      </w:r>
    </w:p>
    <w:sectPr>
      <w:pgSz w:w="11906" w:h="16838"/>
      <w:pgMar w:top="1020" w:right="1020" w:bottom="1020"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mJlODcwNGVkNDdkYTE5Y2NlMTUxYzlmYzBjNDgifQ=="/>
  </w:docVars>
  <w:rsids>
    <w:rsidRoot w:val="00577DC9"/>
    <w:rsid w:val="0003761E"/>
    <w:rsid w:val="00094868"/>
    <w:rsid w:val="000C5DE5"/>
    <w:rsid w:val="000C6DDE"/>
    <w:rsid w:val="000D6012"/>
    <w:rsid w:val="000E4801"/>
    <w:rsid w:val="0013217F"/>
    <w:rsid w:val="00132BC6"/>
    <w:rsid w:val="00166B8F"/>
    <w:rsid w:val="001802B1"/>
    <w:rsid w:val="001818F2"/>
    <w:rsid w:val="001C2D0C"/>
    <w:rsid w:val="001E0848"/>
    <w:rsid w:val="001F0FF3"/>
    <w:rsid w:val="00273EAD"/>
    <w:rsid w:val="002941F4"/>
    <w:rsid w:val="002E0A77"/>
    <w:rsid w:val="002E74B2"/>
    <w:rsid w:val="002F3040"/>
    <w:rsid w:val="0030159A"/>
    <w:rsid w:val="00307DA9"/>
    <w:rsid w:val="00315937"/>
    <w:rsid w:val="003649F5"/>
    <w:rsid w:val="00377BDC"/>
    <w:rsid w:val="003860E1"/>
    <w:rsid w:val="00392F82"/>
    <w:rsid w:val="00393F85"/>
    <w:rsid w:val="003B58E2"/>
    <w:rsid w:val="003E30A7"/>
    <w:rsid w:val="00495E0A"/>
    <w:rsid w:val="004A01F5"/>
    <w:rsid w:val="004A5FA8"/>
    <w:rsid w:val="004A75A3"/>
    <w:rsid w:val="004A7DA0"/>
    <w:rsid w:val="004B44E1"/>
    <w:rsid w:val="004B6B03"/>
    <w:rsid w:val="004E7017"/>
    <w:rsid w:val="00522635"/>
    <w:rsid w:val="005248BA"/>
    <w:rsid w:val="00531B04"/>
    <w:rsid w:val="00537341"/>
    <w:rsid w:val="00556EC4"/>
    <w:rsid w:val="00577DC9"/>
    <w:rsid w:val="00580549"/>
    <w:rsid w:val="00580C1C"/>
    <w:rsid w:val="005B5722"/>
    <w:rsid w:val="005D7DA7"/>
    <w:rsid w:val="005E3C06"/>
    <w:rsid w:val="006060B6"/>
    <w:rsid w:val="00625D50"/>
    <w:rsid w:val="006335D9"/>
    <w:rsid w:val="00635C81"/>
    <w:rsid w:val="00660708"/>
    <w:rsid w:val="006838CA"/>
    <w:rsid w:val="006C7DF9"/>
    <w:rsid w:val="006D2972"/>
    <w:rsid w:val="006F1461"/>
    <w:rsid w:val="006F22F9"/>
    <w:rsid w:val="00701EC9"/>
    <w:rsid w:val="00742FC1"/>
    <w:rsid w:val="007553A9"/>
    <w:rsid w:val="0075664E"/>
    <w:rsid w:val="007A2BB5"/>
    <w:rsid w:val="007C436A"/>
    <w:rsid w:val="007F011D"/>
    <w:rsid w:val="007F36AF"/>
    <w:rsid w:val="00804E4B"/>
    <w:rsid w:val="00804E60"/>
    <w:rsid w:val="00816034"/>
    <w:rsid w:val="0081729C"/>
    <w:rsid w:val="00823B3C"/>
    <w:rsid w:val="00837A6E"/>
    <w:rsid w:val="00841D0C"/>
    <w:rsid w:val="008733C1"/>
    <w:rsid w:val="008925F6"/>
    <w:rsid w:val="008A07BC"/>
    <w:rsid w:val="008A6FE3"/>
    <w:rsid w:val="008B79F3"/>
    <w:rsid w:val="008D0DB4"/>
    <w:rsid w:val="008D59A6"/>
    <w:rsid w:val="008D7C68"/>
    <w:rsid w:val="00900A8D"/>
    <w:rsid w:val="009244A6"/>
    <w:rsid w:val="0094515C"/>
    <w:rsid w:val="0095346A"/>
    <w:rsid w:val="009A3EBA"/>
    <w:rsid w:val="009A45CA"/>
    <w:rsid w:val="009B1CC4"/>
    <w:rsid w:val="009C1718"/>
    <w:rsid w:val="009C1DA2"/>
    <w:rsid w:val="009D6746"/>
    <w:rsid w:val="009F0EE7"/>
    <w:rsid w:val="009F356D"/>
    <w:rsid w:val="00A117D5"/>
    <w:rsid w:val="00A2333E"/>
    <w:rsid w:val="00A24691"/>
    <w:rsid w:val="00A51B0B"/>
    <w:rsid w:val="00A64050"/>
    <w:rsid w:val="00A716CB"/>
    <w:rsid w:val="00AA0F96"/>
    <w:rsid w:val="00AA5AE2"/>
    <w:rsid w:val="00AC4326"/>
    <w:rsid w:val="00AC5110"/>
    <w:rsid w:val="00AD7D61"/>
    <w:rsid w:val="00B132FB"/>
    <w:rsid w:val="00B13605"/>
    <w:rsid w:val="00B1767F"/>
    <w:rsid w:val="00B226F8"/>
    <w:rsid w:val="00B24FB8"/>
    <w:rsid w:val="00B467E9"/>
    <w:rsid w:val="00B5411A"/>
    <w:rsid w:val="00B714A5"/>
    <w:rsid w:val="00B82167"/>
    <w:rsid w:val="00B8439A"/>
    <w:rsid w:val="00B86B5F"/>
    <w:rsid w:val="00BB4337"/>
    <w:rsid w:val="00BB67A5"/>
    <w:rsid w:val="00BC2795"/>
    <w:rsid w:val="00BC2B6E"/>
    <w:rsid w:val="00BD412F"/>
    <w:rsid w:val="00BE3873"/>
    <w:rsid w:val="00BE566D"/>
    <w:rsid w:val="00BF0023"/>
    <w:rsid w:val="00BF4A95"/>
    <w:rsid w:val="00C37DBD"/>
    <w:rsid w:val="00C44D38"/>
    <w:rsid w:val="00C60A34"/>
    <w:rsid w:val="00C60DB3"/>
    <w:rsid w:val="00C83BA7"/>
    <w:rsid w:val="00CA7C49"/>
    <w:rsid w:val="00CC16AC"/>
    <w:rsid w:val="00CC67E2"/>
    <w:rsid w:val="00CF0935"/>
    <w:rsid w:val="00D70C0B"/>
    <w:rsid w:val="00DA2D0A"/>
    <w:rsid w:val="00DB1FCE"/>
    <w:rsid w:val="00DC09B8"/>
    <w:rsid w:val="00E159D0"/>
    <w:rsid w:val="00E21BE7"/>
    <w:rsid w:val="00E425E3"/>
    <w:rsid w:val="00E876EF"/>
    <w:rsid w:val="00E87EDF"/>
    <w:rsid w:val="00E948BA"/>
    <w:rsid w:val="00EC0F57"/>
    <w:rsid w:val="00EC7681"/>
    <w:rsid w:val="00EF3C62"/>
    <w:rsid w:val="00F21281"/>
    <w:rsid w:val="00F21312"/>
    <w:rsid w:val="00F522AD"/>
    <w:rsid w:val="00F756F5"/>
    <w:rsid w:val="00F75993"/>
    <w:rsid w:val="00F811DF"/>
    <w:rsid w:val="00F862DD"/>
    <w:rsid w:val="0155110F"/>
    <w:rsid w:val="026C4FD1"/>
    <w:rsid w:val="03351867"/>
    <w:rsid w:val="03F33975"/>
    <w:rsid w:val="07634BF4"/>
    <w:rsid w:val="07B05960"/>
    <w:rsid w:val="08F57ACE"/>
    <w:rsid w:val="094E5430"/>
    <w:rsid w:val="09BE5500"/>
    <w:rsid w:val="0ACE4156"/>
    <w:rsid w:val="0C132DE9"/>
    <w:rsid w:val="0CBE328E"/>
    <w:rsid w:val="0FF860F6"/>
    <w:rsid w:val="1279351E"/>
    <w:rsid w:val="13C20EF5"/>
    <w:rsid w:val="13D92B20"/>
    <w:rsid w:val="14F275B8"/>
    <w:rsid w:val="16A203C6"/>
    <w:rsid w:val="1A277D03"/>
    <w:rsid w:val="1A620D3B"/>
    <w:rsid w:val="1B373F76"/>
    <w:rsid w:val="1CCC6940"/>
    <w:rsid w:val="1D1B620A"/>
    <w:rsid w:val="1D9E02DC"/>
    <w:rsid w:val="1F363640"/>
    <w:rsid w:val="20790B8D"/>
    <w:rsid w:val="21935C7E"/>
    <w:rsid w:val="219C2D85"/>
    <w:rsid w:val="21D06BF9"/>
    <w:rsid w:val="25C708D7"/>
    <w:rsid w:val="25D90C99"/>
    <w:rsid w:val="27D51F3A"/>
    <w:rsid w:val="29314C36"/>
    <w:rsid w:val="29A529F3"/>
    <w:rsid w:val="2A0F6430"/>
    <w:rsid w:val="2A135BAE"/>
    <w:rsid w:val="2A4515A2"/>
    <w:rsid w:val="2EED2E72"/>
    <w:rsid w:val="2FB9045A"/>
    <w:rsid w:val="309650EF"/>
    <w:rsid w:val="30CB1313"/>
    <w:rsid w:val="35C05211"/>
    <w:rsid w:val="36755AC2"/>
    <w:rsid w:val="36936AAC"/>
    <w:rsid w:val="379D6123"/>
    <w:rsid w:val="37EE3BE1"/>
    <w:rsid w:val="392C493B"/>
    <w:rsid w:val="3A704957"/>
    <w:rsid w:val="3C485B8B"/>
    <w:rsid w:val="3F632CDC"/>
    <w:rsid w:val="40D53766"/>
    <w:rsid w:val="41AB2C51"/>
    <w:rsid w:val="43A54EF8"/>
    <w:rsid w:val="476D46F8"/>
    <w:rsid w:val="47844CF4"/>
    <w:rsid w:val="47DD7E47"/>
    <w:rsid w:val="4A6C6EE9"/>
    <w:rsid w:val="4B35377F"/>
    <w:rsid w:val="4B3F45FD"/>
    <w:rsid w:val="4CD3324F"/>
    <w:rsid w:val="4E361CE8"/>
    <w:rsid w:val="50D15CF8"/>
    <w:rsid w:val="53BF452D"/>
    <w:rsid w:val="55A27C63"/>
    <w:rsid w:val="57DA5143"/>
    <w:rsid w:val="5872194B"/>
    <w:rsid w:val="58DC5F07"/>
    <w:rsid w:val="5A0E3B19"/>
    <w:rsid w:val="5C076A71"/>
    <w:rsid w:val="5CC606DB"/>
    <w:rsid w:val="5F3062DF"/>
    <w:rsid w:val="626C5880"/>
    <w:rsid w:val="62DD3835"/>
    <w:rsid w:val="65870547"/>
    <w:rsid w:val="67390D68"/>
    <w:rsid w:val="68A55D97"/>
    <w:rsid w:val="693B5FAC"/>
    <w:rsid w:val="6AE6017E"/>
    <w:rsid w:val="6C904861"/>
    <w:rsid w:val="6E625A93"/>
    <w:rsid w:val="70FF1FB5"/>
    <w:rsid w:val="72071122"/>
    <w:rsid w:val="738E3970"/>
    <w:rsid w:val="74177616"/>
    <w:rsid w:val="74FD4A5E"/>
    <w:rsid w:val="75E414B9"/>
    <w:rsid w:val="769B452E"/>
    <w:rsid w:val="79CB611C"/>
    <w:rsid w:val="7BF5648F"/>
    <w:rsid w:val="7F9B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宋体"/>
      <w:b/>
      <w:bCs/>
      <w:kern w:val="44"/>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Hyperlink"/>
    <w:unhideWhenUsed/>
    <w:qFormat/>
    <w:uiPriority w:val="99"/>
    <w:rPr>
      <w:color w:val="0563C1"/>
      <w:u w:val="single"/>
    </w:rPr>
  </w:style>
  <w:style w:type="paragraph" w:customStyle="1" w:styleId="11">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8"/>
    <w:link w:val="3"/>
    <w:semiHidden/>
    <w:qFormat/>
    <w:uiPriority w:val="99"/>
  </w:style>
  <w:style w:type="character" w:customStyle="1" w:styleId="16">
    <w:name w:val="font21"/>
    <w:basedOn w:val="8"/>
    <w:qFormat/>
    <w:uiPriority w:val="0"/>
    <w:rPr>
      <w:rFonts w:hint="eastAsia" w:ascii="仿宋" w:hAnsi="仿宋" w:eastAsia="仿宋" w:cs="仿宋"/>
      <w:b/>
      <w:bCs/>
      <w:color w:val="000000"/>
      <w:sz w:val="21"/>
      <w:szCs w:val="21"/>
      <w:u w:val="none"/>
    </w:rPr>
  </w:style>
  <w:style w:type="character" w:customStyle="1" w:styleId="17">
    <w:name w:val="font11"/>
    <w:basedOn w:val="8"/>
    <w:qFormat/>
    <w:uiPriority w:val="0"/>
    <w:rPr>
      <w:rFonts w:hint="eastAsia" w:ascii="仿宋" w:hAnsi="仿宋" w:eastAsia="仿宋" w:cs="仿宋"/>
      <w:b/>
      <w:bCs/>
      <w:color w:val="000000"/>
      <w:sz w:val="24"/>
      <w:szCs w:val="24"/>
      <w:u w:val="none"/>
    </w:rPr>
  </w:style>
  <w:style w:type="character" w:customStyle="1" w:styleId="18">
    <w:name w:val="未处理的提及1"/>
    <w:basedOn w:val="8"/>
    <w:semiHidden/>
    <w:unhideWhenUsed/>
    <w:qFormat/>
    <w:uiPriority w:val="99"/>
    <w:rPr>
      <w:color w:val="605E5C"/>
      <w:shd w:val="clear" w:color="auto" w:fill="E1DFDD"/>
    </w:rPr>
  </w:style>
  <w:style w:type="paragraph" w:customStyle="1" w:styleId="19">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3198</Words>
  <Characters>3430</Characters>
  <Lines>69</Lines>
  <Paragraphs>88</Paragraphs>
  <TotalTime>1</TotalTime>
  <ScaleCrop>false</ScaleCrop>
  <LinksUpToDate>false</LinksUpToDate>
  <CharactersWithSpaces>3462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2022-05-31T02:23:00Z</dcterms:created>
  <dc:creator>1609196696@qq.com</dc:creator>
  <cp:lastModifiedBy>赵斌</cp:lastModifiedBy>
  <cp:lastPrinted>2025-02-09T14:38:00Z</cp:lastPrinted>
  <dcterms:modified xsi:type="dcterms:W3CDTF">2025-05-28T03:37:38Z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D3F8E6BCB9EA41829AE33B5B4F638506_13</vt:lpwstr>
  </property>
  <property fmtid="{D5CDD505-2E9C-101B-9397-08002B2CF9AE}" pid="4" name="KSOTemplateDocerSaveRecord">
    <vt:lpwstr>eyJoZGlkIjoiYmEwMWU3MzQ2NGZiNDE4MmM3ZDcxZjM3NjNhYjc1YzYiLCJ1c2VySWQiOiIzNjcyNjQ1MjgifQ==</vt:lpwstr>
  </property>
</Properties>
</file>