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3848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华文楷体" w:hAnsi="华文楷体" w:eastAsia="华文楷体"/>
          <w:sz w:val="44"/>
          <w:szCs w:val="44"/>
          <w:lang w:val="en-US"/>
        </w:rPr>
      </w:pPr>
      <w:r>
        <w:rPr>
          <w:rFonts w:hint="eastAsia" w:ascii="微软雅黑" w:hAnsi="微软雅黑" w:eastAsia="微软雅黑" w:cs="微软雅黑"/>
          <w:b/>
          <w:bCs/>
          <w:color w:val="FF0000"/>
          <w:sz w:val="44"/>
          <w:szCs w:val="44"/>
          <w:lang w:val="en-US" w:eastAsia="zh-CN"/>
        </w:rPr>
        <w:t>理论•实践•创新：AI时代混合式教学新范式专项培训暨以学生为中心的个性化教学创新设计工作坊</w:t>
      </w:r>
    </w:p>
    <w:p w14:paraId="6BF5C531">
      <w:pPr>
        <w:spacing w:line="480" w:lineRule="exact"/>
        <w:jc w:val="center"/>
        <w:rPr>
          <w:rFonts w:ascii="华文楷体" w:hAnsi="华文楷体" w:eastAsia="华文楷体"/>
          <w:sz w:val="28"/>
          <w:szCs w:val="28"/>
        </w:rPr>
      </w:pPr>
      <w:r>
        <w:rPr>
          <w:rFonts w:hint="eastAsia" w:ascii="华文楷体" w:hAnsi="华文楷体" w:eastAsia="华文楷体"/>
          <w:sz w:val="24"/>
          <w:szCs w:val="24"/>
        </w:rPr>
        <w:t>高教师培﹝20</w:t>
      </w:r>
      <w:r>
        <w:rPr>
          <w:rFonts w:ascii="华文楷体" w:hAnsi="华文楷体" w:eastAsia="华文楷体"/>
          <w:sz w:val="24"/>
          <w:szCs w:val="24"/>
        </w:rPr>
        <w:t>2</w:t>
      </w:r>
      <w:r>
        <w:rPr>
          <w:rFonts w:hint="eastAsia" w:ascii="华文楷体" w:hAnsi="华文楷体" w:eastAsia="华文楷体"/>
          <w:sz w:val="24"/>
          <w:szCs w:val="24"/>
          <w:lang w:val="en-US" w:eastAsia="zh-CN"/>
        </w:rPr>
        <w:t>6</w:t>
      </w:r>
      <w:r>
        <w:rPr>
          <w:rFonts w:hint="eastAsia" w:ascii="华文楷体" w:hAnsi="华文楷体" w:eastAsia="华文楷体"/>
          <w:sz w:val="24"/>
          <w:szCs w:val="24"/>
        </w:rPr>
        <w:t>﹞</w:t>
      </w:r>
      <w:r>
        <w:rPr>
          <w:rFonts w:hint="eastAsia" w:ascii="华文楷体" w:hAnsi="华文楷体" w:eastAsia="华文楷体"/>
          <w:sz w:val="24"/>
          <w:szCs w:val="24"/>
          <w:lang w:val="en-US" w:eastAsia="zh-CN"/>
        </w:rPr>
        <w:t>007</w:t>
      </w:r>
      <w:r>
        <w:rPr>
          <w:rFonts w:hint="eastAsia" w:ascii="华文楷体" w:hAnsi="华文楷体" w:eastAsia="华文楷体"/>
          <w:sz w:val="24"/>
          <w:szCs w:val="24"/>
        </w:rPr>
        <w:t>号</w:t>
      </w:r>
      <w:r>
        <mc:AlternateContent>
          <mc:Choice Requires="wps">
            <w:drawing>
              <wp:anchor distT="0" distB="0" distL="114935" distR="114935" simplePos="0" relativeHeight="251659264" behindDoc="0" locked="0" layoutInCell="1" allowOverlap="1">
                <wp:simplePos x="0" y="0"/>
                <wp:positionH relativeFrom="margin">
                  <wp:posOffset>-18415</wp:posOffset>
                </wp:positionH>
                <wp:positionV relativeFrom="paragraph">
                  <wp:posOffset>404495</wp:posOffset>
                </wp:positionV>
                <wp:extent cx="6312535" cy="26670"/>
                <wp:effectExtent l="0" t="19050" r="12065" b="304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6312535" cy="26670"/>
                        </a:xfrm>
                        <a:prstGeom prst="line">
                          <a:avLst/>
                        </a:prstGeom>
                        <a:noFill/>
                        <a:ln w="38100">
                          <a:solidFill>
                            <a:srgbClr val="FF0000"/>
                          </a:solidFill>
                          <a:round/>
                        </a:ln>
                      </wps:spPr>
                      <wps:bodyPr/>
                    </wps:wsp>
                  </a:graphicData>
                </a:graphic>
              </wp:anchor>
            </w:drawing>
          </mc:Choice>
          <mc:Fallback>
            <w:pict>
              <v:line id="_x0000_s1026" o:spid="_x0000_s1026" o:spt="20" style="position:absolute;left:0pt;flip:y;margin-left:-1.45pt;margin-top:31.85pt;height:2.1pt;width:497.05pt;mso-position-horizontal-relative:margin;z-index:251659264;mso-width-relative:page;mso-height-relative:page;" filled="f" stroked="t" coordsize="21600,21600" o:gfxdata="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FOIYNgAAAAIAQAADwAAAAAAAAABACAAAAAiAAAAZHJzL2Rvd25yZXYueG1sUEsBAhQA&#10;FAAAAAgAh07iQKTZcFvyAQAAuQMAAA4AAAAAAAAAAQAgAAAAJwEAAGRycy9lMm9Eb2MueG1sUEsF&#10;BgAAAAAGAAYAWQEAAIsFAAAAAA==&#10;">
                <v:fill on="f" focussize="0,0"/>
                <v:stroke weight="3pt" color="#FF0000" joinstyle="round"/>
                <v:imagedata o:title=""/>
                <o:lock v:ext="edit" aspectratio="f"/>
              </v:line>
            </w:pict>
          </mc:Fallback>
        </mc:AlternateContent>
      </w:r>
    </w:p>
    <w:p w14:paraId="2252044D">
      <w:pPr>
        <w:spacing w:before="62" w:beforeLines="20" w:line="440" w:lineRule="exact"/>
        <w:rPr>
          <w:rFonts w:ascii="华文楷体" w:hAnsi="华文楷体" w:eastAsia="华文楷体"/>
          <w:sz w:val="28"/>
          <w:szCs w:val="28"/>
        </w:rPr>
      </w:pPr>
    </w:p>
    <w:p w14:paraId="3852F489">
      <w:pPr>
        <w:keepNext w:val="0"/>
        <w:keepLines w:val="0"/>
        <w:pageBreakBefore w:val="0"/>
        <w:widowControl w:val="0"/>
        <w:kinsoku/>
        <w:wordWrap/>
        <w:overflowPunct/>
        <w:topLinePunct w:val="0"/>
        <w:autoSpaceDE/>
        <w:autoSpaceDN/>
        <w:bidi w:val="0"/>
        <w:adjustRightInd/>
        <w:snapToGrid/>
        <w:spacing w:after="7" w:afterLines="2" w:line="480" w:lineRule="exact"/>
        <w:textAlignment w:val="auto"/>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各高等院校：</w:t>
      </w:r>
    </w:p>
    <w:p w14:paraId="76889692">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sz w:val="24"/>
          <w:szCs w:val="24"/>
        </w:rPr>
      </w:pPr>
      <w:r>
        <w:rPr>
          <w:rFonts w:hint="eastAsia" w:ascii="宋体" w:hAnsi="宋体"/>
          <w:sz w:val="24"/>
          <w:szCs w:val="24"/>
        </w:rPr>
        <w:t>当前，以生成式人工智能为代表的技术变革正重塑教育生态，混合式教学</w:t>
      </w:r>
      <w:r>
        <w:rPr>
          <w:rFonts w:hint="eastAsia" w:ascii="宋体" w:hAnsi="宋体"/>
          <w:sz w:val="24"/>
          <w:szCs w:val="24"/>
          <w:lang w:val="en-US" w:eastAsia="zh-CN"/>
        </w:rPr>
        <w:t>已</w:t>
      </w:r>
      <w:r>
        <w:rPr>
          <w:rFonts w:hint="eastAsia" w:ascii="宋体" w:hAnsi="宋体"/>
          <w:sz w:val="24"/>
          <w:szCs w:val="24"/>
        </w:rPr>
        <w:t>进入“深度融合、智能增强”的新阶段。为深入贯彻《教育强国建设规划纲要（2024—2035年）》中“推动人工智能与教育教学深度融合”的战略要求，落实教育部</w:t>
      </w:r>
      <w:r>
        <w:rPr>
          <w:rFonts w:hint="eastAsia" w:ascii="宋体" w:hAnsi="宋体"/>
          <w:sz w:val="24"/>
          <w:szCs w:val="24"/>
          <w:lang w:val="en-US" w:eastAsia="zh-CN"/>
        </w:rPr>
        <w:t>等九部门《关于加快推进教育数字化的意见》中</w:t>
      </w:r>
      <w:r>
        <w:rPr>
          <w:rFonts w:hint="eastAsia" w:ascii="宋体" w:hAnsi="宋体"/>
          <w:sz w:val="24"/>
          <w:szCs w:val="24"/>
        </w:rPr>
        <w:t>“构建个性化、智能化教学新样态”的具体部署，</w:t>
      </w:r>
      <w:r>
        <w:rPr>
          <w:rFonts w:hint="eastAsia" w:ascii="宋体" w:hAnsi="宋体"/>
          <w:sz w:val="24"/>
          <w:szCs w:val="24"/>
          <w:lang w:val="en-US" w:eastAsia="zh-CN"/>
        </w:rPr>
        <w:t>我单位特</w:t>
      </w:r>
      <w:r>
        <w:rPr>
          <w:rFonts w:hint="eastAsia" w:ascii="宋体" w:hAnsi="宋体"/>
          <w:sz w:val="24"/>
          <w:szCs w:val="24"/>
        </w:rPr>
        <w:t>于202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1日</w:t>
      </w: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rPr>
        <w:t>日在</w:t>
      </w:r>
      <w:r>
        <w:rPr>
          <w:rFonts w:hint="eastAsia" w:ascii="宋体" w:hAnsi="宋体"/>
          <w:sz w:val="24"/>
          <w:szCs w:val="24"/>
          <w:lang w:val="en-US" w:eastAsia="zh-CN"/>
        </w:rPr>
        <w:t>海口</w:t>
      </w:r>
      <w:r>
        <w:rPr>
          <w:rFonts w:hint="eastAsia" w:ascii="宋体" w:hAnsi="宋体"/>
          <w:sz w:val="24"/>
          <w:szCs w:val="24"/>
        </w:rPr>
        <w:t>市举办《理论•实践•创新：AI时代混合式教学新范式专项培训暨以学生为中心的个性化教学创新设计工作坊》。现将具体安排通知如下：</w:t>
      </w:r>
    </w:p>
    <w:p w14:paraId="0615362A">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宋体" w:hAnsi="宋体"/>
          <w:sz w:val="24"/>
          <w:szCs w:val="24"/>
        </w:rPr>
      </w:pPr>
      <w:r>
        <w:rPr>
          <w:rFonts w:hint="eastAsia" w:ascii="微软雅黑" w:hAnsi="微软雅黑" w:eastAsia="微软雅黑"/>
          <w:b/>
          <w:sz w:val="24"/>
          <w:szCs w:val="24"/>
        </w:rPr>
        <w:t>一、主办单位</w:t>
      </w:r>
    </w:p>
    <w:p w14:paraId="412B0CC6">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宋体" w:hAnsi="宋体"/>
          <w:sz w:val="24"/>
          <w:szCs w:val="24"/>
        </w:rPr>
      </w:pPr>
      <w:r>
        <w:rPr>
          <w:rFonts w:hint="eastAsia" w:ascii="宋体" w:hAnsi="宋体"/>
          <w:sz w:val="24"/>
          <w:szCs w:val="24"/>
        </w:rPr>
        <w:t>主办：北京华思培教育科技院</w:t>
      </w:r>
    </w:p>
    <w:p w14:paraId="1221832C">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eastAsia="等线"/>
          <w:sz w:val="24"/>
          <w:szCs w:val="24"/>
          <w:lang w:eastAsia="zh-CN"/>
        </w:rPr>
      </w:pPr>
      <w:r>
        <w:rPr>
          <w:rFonts w:hint="eastAsia" w:ascii="宋体" w:hAnsi="宋体"/>
          <w:sz w:val="24"/>
          <w:szCs w:val="24"/>
        </w:rPr>
        <w:t>协办：河北善师敦行教育咨询有限公司</w:t>
      </w:r>
      <w:r>
        <w:rPr>
          <w:rFonts w:hint="eastAsia" w:ascii="等线" w:hAnsi="等线" w:eastAsia="等线" w:cs="等线"/>
          <w:sz w:val="24"/>
          <w:szCs w:val="24"/>
          <w:lang w:eastAsia="zh-CN"/>
        </w:rPr>
        <w:t>、海南中凯启慧培训有限公司</w:t>
      </w:r>
    </w:p>
    <w:p w14:paraId="2CC738F0">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微软雅黑" w:hAnsi="微软雅黑" w:eastAsia="微软雅黑"/>
          <w:b/>
          <w:sz w:val="24"/>
          <w:szCs w:val="24"/>
        </w:rPr>
      </w:pPr>
      <w:r>
        <w:rPr>
          <w:rFonts w:hint="eastAsia" w:ascii="微软雅黑" w:hAnsi="微软雅黑" w:eastAsia="微软雅黑"/>
          <w:b/>
          <w:sz w:val="24"/>
          <w:szCs w:val="24"/>
        </w:rPr>
        <w:t>二、</w:t>
      </w:r>
      <w:r>
        <w:rPr>
          <w:rFonts w:hint="eastAsia" w:ascii="微软雅黑" w:hAnsi="微软雅黑" w:eastAsia="微软雅黑"/>
          <w:b/>
          <w:sz w:val="24"/>
          <w:szCs w:val="24"/>
          <w:lang w:val="en-US" w:eastAsia="zh-CN"/>
        </w:rPr>
        <w:t>研修</w:t>
      </w:r>
      <w:r>
        <w:rPr>
          <w:rFonts w:hint="eastAsia" w:ascii="微软雅黑" w:hAnsi="微软雅黑" w:eastAsia="微软雅黑"/>
          <w:b/>
          <w:sz w:val="24"/>
          <w:szCs w:val="24"/>
        </w:rPr>
        <w:t>时间</w:t>
      </w:r>
      <w:r>
        <w:rPr>
          <w:rFonts w:hint="eastAsia" w:ascii="微软雅黑" w:hAnsi="微软雅黑" w:eastAsia="微软雅黑"/>
          <w:b/>
          <w:sz w:val="24"/>
          <w:szCs w:val="24"/>
          <w:lang w:eastAsia="zh-CN"/>
        </w:rPr>
        <w:t>、</w:t>
      </w:r>
      <w:r>
        <w:rPr>
          <w:rFonts w:hint="eastAsia" w:ascii="微软雅黑" w:hAnsi="微软雅黑" w:eastAsia="微软雅黑"/>
          <w:b/>
          <w:sz w:val="24"/>
          <w:szCs w:val="24"/>
        </w:rPr>
        <w:t>方式</w:t>
      </w:r>
      <w:r>
        <w:rPr>
          <w:rFonts w:hint="eastAsia" w:ascii="微软雅黑" w:hAnsi="微软雅黑" w:eastAsia="微软雅黑"/>
          <w:b/>
          <w:sz w:val="24"/>
          <w:szCs w:val="24"/>
          <w:lang w:val="en-US" w:eastAsia="zh-CN"/>
        </w:rPr>
        <w:t>与地点</w:t>
      </w:r>
    </w:p>
    <w:p w14:paraId="77644B73">
      <w:pPr>
        <w:keepNext w:val="0"/>
        <w:keepLines w:val="0"/>
        <w:pageBreakBefore w:val="0"/>
        <w:widowControl w:val="0"/>
        <w:kinsoku/>
        <w:wordWrap/>
        <w:overflowPunct/>
        <w:topLinePunct w:val="0"/>
        <w:autoSpaceDE/>
        <w:autoSpaceDN/>
        <w:bidi w:val="0"/>
        <w:adjustRightInd/>
        <w:snapToGrid/>
        <w:spacing w:before="7" w:beforeLines="2" w:after="7" w:afterLines="2" w:line="480" w:lineRule="exact"/>
        <w:ind w:left="480"/>
        <w:textAlignment w:val="auto"/>
        <w:rPr>
          <w:rFonts w:hint="eastAsia" w:ascii="等线" w:hAnsi="等线" w:eastAsia="等线" w:cs="等线"/>
          <w:sz w:val="24"/>
          <w:szCs w:val="24"/>
        </w:rPr>
      </w:pPr>
      <w:r>
        <w:rPr>
          <w:rFonts w:hint="eastAsia" w:ascii="等线" w:hAnsi="等线" w:eastAsia="等线" w:cs="等线"/>
          <w:sz w:val="24"/>
          <w:szCs w:val="24"/>
          <w:lang w:val="en-US" w:eastAsia="zh-CN"/>
        </w:rPr>
        <w:t>时间：</w:t>
      </w:r>
      <w:r>
        <w:rPr>
          <w:rFonts w:hint="eastAsia" w:ascii="等线" w:hAnsi="等线" w:eastAsia="等线" w:cs="等线"/>
          <w:sz w:val="24"/>
          <w:szCs w:val="24"/>
        </w:rPr>
        <w:t>202</w:t>
      </w:r>
      <w:r>
        <w:rPr>
          <w:rFonts w:hint="eastAsia" w:ascii="等线" w:hAnsi="等线" w:eastAsia="等线" w:cs="等线"/>
          <w:sz w:val="24"/>
          <w:szCs w:val="24"/>
          <w:lang w:val="en-US" w:eastAsia="zh-CN"/>
        </w:rPr>
        <w:t>6</w:t>
      </w:r>
      <w:r>
        <w:rPr>
          <w:rFonts w:hint="eastAsia" w:ascii="等线" w:hAnsi="等线" w:eastAsia="等线" w:cs="等线"/>
          <w:sz w:val="24"/>
          <w:szCs w:val="24"/>
        </w:rPr>
        <w:t>年</w:t>
      </w:r>
      <w:r>
        <w:rPr>
          <w:rFonts w:hint="eastAsia" w:ascii="等线" w:hAnsi="等线" w:eastAsia="等线" w:cs="等线"/>
          <w:sz w:val="24"/>
          <w:szCs w:val="24"/>
          <w:lang w:val="en-US" w:eastAsia="zh-CN"/>
        </w:rPr>
        <w:t>2</w:t>
      </w:r>
      <w:r>
        <w:rPr>
          <w:rFonts w:hint="eastAsia" w:ascii="等线" w:hAnsi="等线" w:eastAsia="等线" w:cs="等线"/>
          <w:sz w:val="24"/>
          <w:szCs w:val="24"/>
        </w:rPr>
        <w:t>月</w:t>
      </w:r>
      <w:r>
        <w:rPr>
          <w:rFonts w:hint="eastAsia" w:ascii="等线" w:hAnsi="等线" w:eastAsia="等线" w:cs="等线"/>
          <w:sz w:val="24"/>
          <w:szCs w:val="24"/>
          <w:lang w:val="en-US" w:eastAsia="zh-CN"/>
        </w:rPr>
        <w:t>1</w:t>
      </w:r>
      <w:r>
        <w:rPr>
          <w:rFonts w:hint="eastAsia" w:ascii="等线" w:hAnsi="等线" w:eastAsia="等线" w:cs="等线"/>
          <w:sz w:val="24"/>
          <w:szCs w:val="24"/>
        </w:rPr>
        <w:t>日—</w:t>
      </w:r>
      <w:r>
        <w:rPr>
          <w:rFonts w:hint="eastAsia" w:ascii="等线" w:hAnsi="等线" w:eastAsia="等线" w:cs="等线"/>
          <w:sz w:val="24"/>
          <w:szCs w:val="24"/>
          <w:lang w:val="en-US" w:eastAsia="zh-CN"/>
        </w:rPr>
        <w:t>4</w:t>
      </w:r>
      <w:r>
        <w:rPr>
          <w:rFonts w:hint="eastAsia" w:ascii="等线" w:hAnsi="等线" w:eastAsia="等线" w:cs="等线"/>
          <w:sz w:val="24"/>
          <w:szCs w:val="24"/>
        </w:rPr>
        <w:t>日。 方式：线下+线上+回看</w:t>
      </w:r>
    </w:p>
    <w:p w14:paraId="610AE99B">
      <w:pPr>
        <w:keepNext w:val="0"/>
        <w:keepLines w:val="0"/>
        <w:pageBreakBefore w:val="0"/>
        <w:widowControl w:val="0"/>
        <w:kinsoku/>
        <w:wordWrap/>
        <w:overflowPunct/>
        <w:topLinePunct w:val="0"/>
        <w:autoSpaceDE/>
        <w:autoSpaceDN/>
        <w:bidi w:val="0"/>
        <w:adjustRightInd/>
        <w:snapToGrid/>
        <w:spacing w:before="7" w:beforeLines="2" w:after="7" w:afterLines="2" w:line="480" w:lineRule="exact"/>
        <w:ind w:left="480"/>
        <w:textAlignment w:val="auto"/>
        <w:rPr>
          <w:rFonts w:hint="eastAsia" w:ascii="等线" w:hAnsi="等线" w:eastAsia="等线" w:cs="等线"/>
          <w:b/>
          <w:bCs/>
          <w:sz w:val="24"/>
          <w:szCs w:val="24"/>
        </w:rPr>
      </w:pPr>
      <w:r>
        <w:rPr>
          <w:rFonts w:hint="eastAsia" w:ascii="等线" w:hAnsi="等线" w:eastAsia="等线" w:cs="等线"/>
          <w:sz w:val="24"/>
          <w:szCs w:val="24"/>
          <w:lang w:val="en-US" w:eastAsia="zh-CN"/>
        </w:rPr>
        <w:t>地点</w:t>
      </w:r>
      <w:r>
        <w:rPr>
          <w:rFonts w:hint="eastAsia" w:ascii="等线" w:hAnsi="等线" w:eastAsia="等线" w:cs="等线"/>
          <w:sz w:val="24"/>
          <w:szCs w:val="24"/>
        </w:rPr>
        <w:t>：</w:t>
      </w:r>
      <w:r>
        <w:rPr>
          <w:rFonts w:hint="eastAsia" w:ascii="等线" w:hAnsi="等线" w:eastAsia="等线" w:cs="等线"/>
          <w:b w:val="0"/>
          <w:bCs w:val="0"/>
          <w:sz w:val="24"/>
          <w:szCs w:val="24"/>
          <w:lang w:val="en-US" w:eastAsia="zh-CN"/>
        </w:rPr>
        <w:t>海口</w:t>
      </w:r>
      <w:r>
        <w:rPr>
          <w:rFonts w:hint="eastAsia" w:ascii="等线" w:hAnsi="等线" w:eastAsia="等线" w:cs="等线"/>
          <w:b w:val="0"/>
          <w:bCs w:val="0"/>
          <w:sz w:val="24"/>
          <w:szCs w:val="24"/>
        </w:rPr>
        <w:t>市</w:t>
      </w:r>
      <w:r>
        <w:rPr>
          <w:rFonts w:hint="eastAsia" w:ascii="等线" w:hAnsi="等线" w:eastAsia="等线" w:cs="等线"/>
          <w:sz w:val="24"/>
          <w:szCs w:val="24"/>
        </w:rPr>
        <w:t>•新海南大酒店</w:t>
      </w:r>
      <w:r>
        <w:rPr>
          <w:rFonts w:hint="eastAsia" w:ascii="等线" w:hAnsi="等线" w:eastAsia="等线" w:cs="等线"/>
          <w:sz w:val="24"/>
          <w:szCs w:val="24"/>
          <w:lang w:eastAsia="zh-CN"/>
        </w:rPr>
        <w:t>（海口美兰区海府路 51 号）</w:t>
      </w:r>
    </w:p>
    <w:p w14:paraId="472C13B2">
      <w:pPr>
        <w:keepNext w:val="0"/>
        <w:keepLines w:val="0"/>
        <w:pageBreakBefore w:val="0"/>
        <w:widowControl w:val="0"/>
        <w:kinsoku/>
        <w:wordWrap/>
        <w:overflowPunct/>
        <w:topLinePunct w:val="0"/>
        <w:autoSpaceDE/>
        <w:autoSpaceDN/>
        <w:bidi w:val="0"/>
        <w:adjustRightInd/>
        <w:snapToGrid/>
        <w:spacing w:before="7" w:beforeLines="2" w:after="7" w:afterLines="2" w:line="480" w:lineRule="exact"/>
        <w:ind w:left="480"/>
        <w:textAlignment w:val="auto"/>
        <w:rPr>
          <w:rFonts w:hint="eastAsia" w:ascii="等线" w:hAnsi="等线" w:eastAsia="等线" w:cs="等线"/>
          <w:sz w:val="24"/>
          <w:szCs w:val="24"/>
        </w:rPr>
      </w:pPr>
      <w:r>
        <w:rPr>
          <w:rFonts w:hint="eastAsia" w:ascii="等线" w:hAnsi="等线" w:eastAsia="等线" w:cs="等线"/>
          <w:sz w:val="24"/>
          <w:szCs w:val="24"/>
          <w:lang w:val="en-US" w:eastAsia="zh-CN"/>
        </w:rPr>
        <w:t>2</w:t>
      </w:r>
      <w:r>
        <w:rPr>
          <w:rFonts w:hint="eastAsia" w:ascii="等线" w:hAnsi="等线" w:eastAsia="等线" w:cs="等线"/>
          <w:sz w:val="24"/>
          <w:szCs w:val="24"/>
        </w:rPr>
        <w:t>月</w:t>
      </w:r>
      <w:r>
        <w:rPr>
          <w:rFonts w:hint="eastAsia" w:ascii="等线" w:hAnsi="等线" w:eastAsia="等线" w:cs="等线"/>
          <w:sz w:val="24"/>
          <w:szCs w:val="24"/>
          <w:lang w:val="en-US" w:eastAsia="zh-CN"/>
        </w:rPr>
        <w:t>1</w:t>
      </w:r>
      <w:r>
        <w:rPr>
          <w:rFonts w:hint="eastAsia" w:ascii="等线" w:hAnsi="等线" w:eastAsia="等线" w:cs="等线"/>
          <w:sz w:val="24"/>
          <w:szCs w:val="24"/>
        </w:rPr>
        <w:t>日线下参会代表全天报到，</w:t>
      </w:r>
      <w:r>
        <w:rPr>
          <w:rFonts w:hint="eastAsia" w:ascii="等线" w:hAnsi="等线" w:eastAsia="等线" w:cs="等线"/>
          <w:sz w:val="24"/>
          <w:szCs w:val="24"/>
          <w:lang w:val="en-US" w:eastAsia="zh-CN"/>
        </w:rPr>
        <w:t>2日、3</w:t>
      </w:r>
      <w:r>
        <w:rPr>
          <w:rFonts w:hint="eastAsia" w:ascii="等线" w:hAnsi="等线" w:eastAsia="等线" w:cs="等线"/>
          <w:sz w:val="24"/>
          <w:szCs w:val="24"/>
        </w:rPr>
        <w:t>日（线下+线上）培训，</w:t>
      </w:r>
      <w:r>
        <w:rPr>
          <w:rFonts w:hint="eastAsia" w:ascii="等线" w:hAnsi="等线" w:eastAsia="等线" w:cs="等线"/>
          <w:sz w:val="24"/>
          <w:szCs w:val="24"/>
          <w:lang w:val="en-US" w:eastAsia="zh-CN"/>
        </w:rPr>
        <w:t>4</w:t>
      </w:r>
      <w:r>
        <w:rPr>
          <w:rFonts w:hint="eastAsia" w:ascii="等线" w:hAnsi="等线" w:eastAsia="等线" w:cs="等线"/>
          <w:sz w:val="24"/>
          <w:szCs w:val="24"/>
        </w:rPr>
        <w:t>日返程。</w:t>
      </w:r>
    </w:p>
    <w:p w14:paraId="1D18E2A3">
      <w:pPr>
        <w:keepNext w:val="0"/>
        <w:keepLines w:val="0"/>
        <w:pageBreakBefore w:val="0"/>
        <w:widowControl w:val="0"/>
        <w:kinsoku/>
        <w:wordWrap/>
        <w:overflowPunct/>
        <w:topLinePunct w:val="0"/>
        <w:autoSpaceDE/>
        <w:autoSpaceDN/>
        <w:bidi w:val="0"/>
        <w:adjustRightInd/>
        <w:snapToGrid/>
        <w:spacing w:after="7" w:afterLines="2" w:line="480" w:lineRule="exact"/>
        <w:ind w:left="482"/>
        <w:textAlignment w:val="auto"/>
        <w:rPr>
          <w:rFonts w:hint="eastAsia" w:eastAsiaTheme="minorEastAsia"/>
          <w:b w:val="0"/>
          <w:bCs w:val="0"/>
          <w:lang w:val="en-US" w:eastAsia="zh-CN"/>
        </w:rPr>
      </w:pPr>
      <w:r>
        <w:rPr>
          <w:rFonts w:hint="eastAsia" w:ascii="宋体" w:hAnsi="宋体"/>
          <w:b w:val="0"/>
          <w:bCs w:val="0"/>
          <w:sz w:val="24"/>
          <w:szCs w:val="24"/>
          <w:lang w:val="en-US" w:eastAsia="zh-CN"/>
        </w:rPr>
        <w:t>备注：参加线下培训同样可获得培训课程线上回放资格</w:t>
      </w:r>
      <w:r>
        <w:rPr>
          <w:rFonts w:hint="eastAsia" w:ascii="宋体" w:hAnsi="宋体"/>
          <w:b w:val="0"/>
          <w:bCs w:val="0"/>
          <w:sz w:val="24"/>
          <w:szCs w:val="24"/>
          <w:lang w:eastAsia="zh-CN"/>
        </w:rPr>
        <w:t>。</w:t>
      </w:r>
    </w:p>
    <w:p w14:paraId="28F47459">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default" w:ascii="微软雅黑" w:hAnsi="微软雅黑" w:eastAsia="微软雅黑"/>
          <w:b/>
          <w:sz w:val="24"/>
          <w:szCs w:val="24"/>
          <w:lang w:val="en-US" w:eastAsia="zh-CN"/>
        </w:rPr>
      </w:pPr>
      <w:r>
        <w:rPr>
          <w:rFonts w:hint="eastAsia" w:ascii="微软雅黑" w:hAnsi="微软雅黑" w:eastAsia="微软雅黑"/>
          <w:b/>
          <w:sz w:val="24"/>
          <w:szCs w:val="24"/>
          <w:lang w:val="en-US" w:eastAsia="zh-CN"/>
        </w:rPr>
        <w:t>三</w:t>
      </w:r>
      <w:r>
        <w:rPr>
          <w:rFonts w:hint="eastAsia" w:ascii="微软雅黑" w:hAnsi="微软雅黑" w:eastAsia="微软雅黑"/>
          <w:b/>
          <w:sz w:val="24"/>
          <w:szCs w:val="24"/>
        </w:rPr>
        <w:t>、</w:t>
      </w:r>
      <w:r>
        <w:rPr>
          <w:rFonts w:hint="eastAsia" w:ascii="微软雅黑" w:hAnsi="微软雅黑" w:eastAsia="微软雅黑"/>
          <w:b/>
          <w:sz w:val="24"/>
          <w:szCs w:val="24"/>
          <w:lang w:val="en-US" w:eastAsia="zh-CN"/>
        </w:rPr>
        <w:t>研修主旨</w:t>
      </w:r>
    </w:p>
    <w:p w14:paraId="73F51496">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lang w:val="en-US" w:eastAsia="zh-CN"/>
        </w:rPr>
      </w:pPr>
      <w:r>
        <w:rPr>
          <w:rFonts w:hint="eastAsia" w:ascii="等线" w:hAnsi="等线" w:eastAsia="等线" w:cs="等线"/>
          <w:kern w:val="2"/>
          <w:sz w:val="24"/>
          <w:szCs w:val="24"/>
          <w:lang w:val="en-US" w:eastAsia="zh-CN" w:bidi="ar-SA"/>
        </w:rPr>
        <w:t>本次培训聚焦“深度混合式教学”的核心逻辑与实施路径，通过理论阐释、案例剖析与工作坊实操，系统解析智能平台支持下的学情分析、知识图谱构建、个性化评价等关键环节，助力教师掌握以学生为中心的智慧教学设计方法，推动课堂教学从“技术应用”向“模式重构”跃迁。</w:t>
      </w:r>
    </w:p>
    <w:p w14:paraId="4FFD1953">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宋体" w:hAnsi="宋体"/>
          <w:sz w:val="24"/>
          <w:szCs w:val="24"/>
        </w:rPr>
      </w:pPr>
      <w:r>
        <w:rPr>
          <w:rFonts w:hint="eastAsia" w:ascii="微软雅黑" w:hAnsi="微软雅黑" w:eastAsia="微软雅黑"/>
          <w:b/>
          <w:sz w:val="24"/>
          <w:szCs w:val="24"/>
        </w:rPr>
        <w:t>四、</w:t>
      </w:r>
      <w:r>
        <w:rPr>
          <w:rFonts w:hint="eastAsia" w:ascii="微软雅黑" w:hAnsi="微软雅黑" w:eastAsia="微软雅黑"/>
          <w:b/>
          <w:sz w:val="24"/>
          <w:szCs w:val="24"/>
          <w:lang w:val="en-US" w:eastAsia="zh-CN"/>
        </w:rPr>
        <w:t>参会对象</w:t>
      </w:r>
    </w:p>
    <w:p w14:paraId="0C7304CC">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lang w:eastAsia="zh-CN"/>
        </w:rPr>
      </w:pPr>
      <w:r>
        <w:rPr>
          <w:rFonts w:hint="eastAsia" w:ascii="等线" w:hAnsi="等线" w:eastAsia="等线" w:cs="等线"/>
          <w:sz w:val="24"/>
          <w:szCs w:val="24"/>
        </w:rPr>
        <w:t>各高</w:t>
      </w:r>
      <w:r>
        <w:rPr>
          <w:rFonts w:hint="eastAsia" w:ascii="等线" w:hAnsi="等线" w:eastAsia="等线" w:cs="等线"/>
          <w:sz w:val="24"/>
          <w:szCs w:val="24"/>
          <w:lang w:val="en-US" w:eastAsia="zh-CN"/>
        </w:rPr>
        <w:t>等院</w:t>
      </w:r>
      <w:r>
        <w:rPr>
          <w:rFonts w:hint="eastAsia" w:ascii="等线" w:hAnsi="等线" w:eastAsia="等线" w:cs="等线"/>
          <w:sz w:val="24"/>
          <w:szCs w:val="24"/>
        </w:rPr>
        <w:t>校（</w:t>
      </w:r>
      <w:r>
        <w:rPr>
          <w:rFonts w:hint="eastAsia" w:ascii="等线" w:hAnsi="等线" w:eastAsia="等线" w:cs="等线"/>
          <w:sz w:val="24"/>
          <w:szCs w:val="24"/>
          <w:lang w:val="en-US" w:eastAsia="zh-CN"/>
        </w:rPr>
        <w:t>含部队院校、</w:t>
      </w:r>
      <w:r>
        <w:rPr>
          <w:rFonts w:hint="eastAsia" w:ascii="等线" w:hAnsi="等线" w:eastAsia="等线" w:cs="等线"/>
          <w:sz w:val="24"/>
          <w:szCs w:val="24"/>
        </w:rPr>
        <w:t>职业院校）分管教学领导、辅助教学单位（教务处、教师发展中心、教育技术中心）、二级院系领导、系主任、学科带头人、教研室主任、一线教师等。</w:t>
      </w:r>
    </w:p>
    <w:p w14:paraId="56903D57">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rPr>
      </w:pPr>
      <w:r>
        <w:rPr>
          <w:rFonts w:hint="eastAsia" w:ascii="微软雅黑" w:hAnsi="微软雅黑" w:eastAsia="微软雅黑"/>
          <w:b/>
          <w:sz w:val="24"/>
          <w:szCs w:val="24"/>
        </w:rPr>
        <w:t>五、日程安排</w:t>
      </w:r>
    </w:p>
    <w:tbl>
      <w:tblPr>
        <w:tblStyle w:val="7"/>
        <w:tblpPr w:leftFromText="180" w:rightFromText="180" w:vertAnchor="text" w:horzAnchor="margin" w:tblpXSpec="center" w:tblpY="267"/>
        <w:tblOverlap w:val="never"/>
        <w:tblW w:w="4832" w:type="pct"/>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108" w:type="dxa"/>
          <w:bottom w:w="0" w:type="dxa"/>
          <w:right w:w="108" w:type="dxa"/>
        </w:tblCellMar>
      </w:tblPr>
      <w:tblGrid>
        <w:gridCol w:w="1075"/>
        <w:gridCol w:w="1367"/>
        <w:gridCol w:w="1218"/>
        <w:gridCol w:w="5863"/>
      </w:tblGrid>
      <w:tr w14:paraId="43C7063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19" w:hRule="atLeast"/>
          <w:jc w:val="center"/>
        </w:trPr>
        <w:tc>
          <w:tcPr>
            <w:tcW w:w="5000" w:type="pct"/>
            <w:gridSpan w:val="4"/>
            <w:tcBorders>
              <w:bottom w:val="single" w:color="4F81BD" w:sz="4" w:space="0"/>
            </w:tcBorders>
            <w:noWrap w:val="0"/>
            <w:vAlign w:val="center"/>
          </w:tcPr>
          <w:p w14:paraId="7012D12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bookmarkStart w:id="0" w:name="_Hlk101866967"/>
            <w:bookmarkStart w:id="1" w:name="_Hlk161478115"/>
            <w:r>
              <w:rPr>
                <w:rFonts w:hint="eastAsia" w:ascii="宋体" w:hAnsi="宋体"/>
                <w:b/>
                <w:kern w:val="0"/>
                <w:szCs w:val="21"/>
              </w:rPr>
              <w:t>理论•实践•创新：AI时代混合式教学新范式专项培训暨以学生为中心的个性化教学创新设计工作坊</w:t>
            </w:r>
          </w:p>
        </w:tc>
      </w:tr>
      <w:tr w14:paraId="06F6CBC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19" w:hRule="atLeast"/>
          <w:jc w:val="center"/>
        </w:trPr>
        <w:tc>
          <w:tcPr>
            <w:tcW w:w="1282" w:type="pct"/>
            <w:gridSpan w:val="2"/>
            <w:tcBorders>
              <w:top w:val="single" w:color="4F81BD" w:sz="4" w:space="0"/>
              <w:bottom w:val="single" w:color="4F81BD" w:sz="4" w:space="0"/>
              <w:right w:val="single" w:color="4F81BD" w:sz="4" w:space="0"/>
            </w:tcBorders>
            <w:noWrap w:val="0"/>
            <w:vAlign w:val="center"/>
          </w:tcPr>
          <w:p w14:paraId="40BF0D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b/>
                <w:kern w:val="0"/>
                <w:szCs w:val="21"/>
              </w:rPr>
            </w:pPr>
            <w:r>
              <w:rPr>
                <w:rFonts w:hint="eastAsia" w:ascii="宋体" w:hAnsi="宋体"/>
                <w:b/>
                <w:kern w:val="0"/>
                <w:szCs w:val="21"/>
              </w:rPr>
              <w:t>时间</w:t>
            </w:r>
          </w:p>
        </w:tc>
        <w:tc>
          <w:tcPr>
            <w:tcW w:w="3717" w:type="pct"/>
            <w:gridSpan w:val="2"/>
            <w:tcBorders>
              <w:top w:val="single" w:color="4F81BD" w:sz="4" w:space="0"/>
              <w:left w:val="single" w:color="4F81BD" w:sz="4" w:space="0"/>
              <w:bottom w:val="single" w:color="4F81BD" w:sz="4" w:space="0"/>
            </w:tcBorders>
            <w:noWrap w:val="0"/>
            <w:vAlign w:val="center"/>
          </w:tcPr>
          <w:p w14:paraId="5DEFEF4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Theme="minorEastAsia"/>
                <w:b/>
                <w:kern w:val="0"/>
                <w:szCs w:val="21"/>
                <w:lang w:eastAsia="zh-CN"/>
              </w:rPr>
            </w:pPr>
            <w:r>
              <w:rPr>
                <w:rFonts w:hint="eastAsia" w:ascii="宋体" w:hAnsi="宋体"/>
                <w:b/>
                <w:kern w:val="0"/>
                <w:szCs w:val="21"/>
              </w:rPr>
              <w:t>活动内容概述</w:t>
            </w:r>
            <w:r>
              <w:rPr>
                <w:rFonts w:hint="eastAsia" w:ascii="宋体" w:hAnsi="宋体"/>
                <w:b/>
                <w:kern w:val="0"/>
                <w:szCs w:val="21"/>
                <w:lang w:eastAsia="zh-CN"/>
              </w:rPr>
              <w:t>（</w:t>
            </w:r>
            <w:r>
              <w:rPr>
                <w:rFonts w:hint="eastAsia" w:ascii="宋体" w:hAnsi="宋体"/>
                <w:b/>
                <w:kern w:val="0"/>
                <w:szCs w:val="21"/>
                <w:lang w:val="en-US" w:eastAsia="zh-CN"/>
              </w:rPr>
              <w:t>以现场安排为准</w:t>
            </w:r>
            <w:r>
              <w:rPr>
                <w:rFonts w:hint="eastAsia" w:ascii="宋体" w:hAnsi="宋体"/>
                <w:b/>
                <w:kern w:val="0"/>
                <w:szCs w:val="21"/>
                <w:lang w:eastAsia="zh-CN"/>
              </w:rPr>
              <w:t>）</w:t>
            </w:r>
          </w:p>
        </w:tc>
      </w:tr>
      <w:tr w14:paraId="34E6469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519" w:hRule="atLeast"/>
          <w:jc w:val="center"/>
        </w:trPr>
        <w:tc>
          <w:tcPr>
            <w:tcW w:w="1282" w:type="pct"/>
            <w:gridSpan w:val="2"/>
            <w:tcBorders>
              <w:top w:val="single" w:color="4F81BD" w:sz="4" w:space="0"/>
              <w:bottom w:val="single" w:color="4F81BD" w:sz="4" w:space="0"/>
              <w:right w:val="single" w:color="4F81BD" w:sz="4" w:space="0"/>
            </w:tcBorders>
            <w:noWrap w:val="0"/>
            <w:vAlign w:val="center"/>
          </w:tcPr>
          <w:p w14:paraId="1C36CC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等线" w:hAnsi="等线" w:eastAsia="等线"/>
                <w:kern w:val="0"/>
                <w:szCs w:val="21"/>
              </w:rPr>
            </w:pPr>
            <w:r>
              <w:rPr>
                <w:rFonts w:hint="eastAsia" w:ascii="等线" w:hAnsi="等线" w:eastAsia="等线"/>
                <w:kern w:val="0"/>
                <w:szCs w:val="21"/>
                <w:lang w:val="en-US" w:eastAsia="zh-CN"/>
              </w:rPr>
              <w:t>2</w:t>
            </w:r>
            <w:r>
              <w:rPr>
                <w:rFonts w:hint="eastAsia" w:ascii="等线" w:hAnsi="等线" w:eastAsia="等线"/>
                <w:kern w:val="0"/>
                <w:szCs w:val="21"/>
              </w:rPr>
              <w:t>月</w:t>
            </w:r>
            <w:r>
              <w:rPr>
                <w:rFonts w:hint="eastAsia" w:ascii="等线" w:hAnsi="等线" w:eastAsia="等线"/>
                <w:kern w:val="0"/>
                <w:szCs w:val="21"/>
                <w:lang w:val="en-US" w:eastAsia="zh-CN"/>
              </w:rPr>
              <w:t>1</w:t>
            </w:r>
            <w:r>
              <w:rPr>
                <w:rFonts w:hint="eastAsia" w:ascii="等线" w:hAnsi="等线" w:eastAsia="等线"/>
                <w:kern w:val="0"/>
                <w:szCs w:val="21"/>
              </w:rPr>
              <w:t>日</w:t>
            </w:r>
          </w:p>
        </w:tc>
        <w:tc>
          <w:tcPr>
            <w:tcW w:w="3717" w:type="pct"/>
            <w:gridSpan w:val="2"/>
            <w:tcBorders>
              <w:top w:val="single" w:color="4F81BD" w:sz="4" w:space="0"/>
              <w:left w:val="single" w:color="4F81BD" w:sz="4" w:space="0"/>
              <w:bottom w:val="single" w:color="4F81BD" w:sz="4" w:space="0"/>
            </w:tcBorders>
            <w:noWrap w:val="0"/>
            <w:vAlign w:val="center"/>
          </w:tcPr>
          <w:p w14:paraId="2EB0E32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r>
              <w:rPr>
                <w:rFonts w:hint="eastAsia" w:ascii="宋体" w:hAnsi="宋体"/>
                <w:b/>
                <w:kern w:val="0"/>
                <w:szCs w:val="21"/>
              </w:rPr>
              <w:t>线下参会教师全天报到</w:t>
            </w:r>
          </w:p>
        </w:tc>
      </w:tr>
      <w:tr w14:paraId="7DA01C7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89" w:hRule="atLeast"/>
          <w:jc w:val="center"/>
        </w:trPr>
        <w:tc>
          <w:tcPr>
            <w:tcW w:w="564" w:type="pct"/>
            <w:vMerge w:val="restart"/>
            <w:tcBorders>
              <w:top w:val="single" w:color="4F81BD" w:sz="4" w:space="0"/>
              <w:bottom w:val="single" w:color="4F81BD" w:sz="4" w:space="0"/>
              <w:right w:val="single" w:color="4F81BD" w:sz="4" w:space="0"/>
            </w:tcBorders>
            <w:shd w:val="clear" w:color="auto" w:fill="auto"/>
            <w:noWrap w:val="0"/>
            <w:vAlign w:val="center"/>
          </w:tcPr>
          <w:p w14:paraId="63E503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2E74B5"/>
                <w:kern w:val="0"/>
                <w:szCs w:val="21"/>
              </w:rPr>
            </w:pPr>
            <w:r>
              <w:rPr>
                <w:rFonts w:hint="eastAsia" w:ascii="等线" w:hAnsi="等线" w:eastAsia="等线"/>
                <w:kern w:val="0"/>
                <w:szCs w:val="21"/>
                <w:lang w:val="en-US" w:eastAsia="zh-CN"/>
              </w:rPr>
              <w:t>2</w:t>
            </w:r>
            <w:r>
              <w:rPr>
                <w:rFonts w:hint="eastAsia" w:ascii="等线" w:hAnsi="等线" w:eastAsia="等线"/>
                <w:kern w:val="0"/>
                <w:szCs w:val="21"/>
              </w:rPr>
              <w:t>月</w:t>
            </w:r>
            <w:r>
              <w:rPr>
                <w:rFonts w:hint="eastAsia" w:ascii="等线" w:hAnsi="等线" w:eastAsia="等线"/>
                <w:kern w:val="0"/>
                <w:szCs w:val="21"/>
                <w:lang w:val="en-US" w:eastAsia="zh-CN"/>
              </w:rPr>
              <w:t>2</w:t>
            </w:r>
            <w:r>
              <w:rPr>
                <w:rFonts w:hint="eastAsia" w:ascii="等线" w:hAnsi="等线" w:eastAsia="等线"/>
                <w:kern w:val="0"/>
                <w:szCs w:val="21"/>
              </w:rPr>
              <w:t>日</w:t>
            </w:r>
          </w:p>
        </w:tc>
        <w:tc>
          <w:tcPr>
            <w:tcW w:w="717" w:type="pct"/>
            <w:vMerge w:val="restart"/>
            <w:tcBorders>
              <w:top w:val="single" w:color="4F81BD" w:sz="4" w:space="0"/>
              <w:left w:val="single" w:color="4F81BD" w:sz="4" w:space="0"/>
              <w:bottom w:val="single" w:color="4F81BD" w:sz="4" w:space="0"/>
              <w:right w:val="single" w:color="4F81BD" w:sz="4" w:space="0"/>
            </w:tcBorders>
            <w:shd w:val="clear" w:color="auto" w:fill="auto"/>
            <w:noWrap w:val="0"/>
            <w:vAlign w:val="center"/>
          </w:tcPr>
          <w:p w14:paraId="2A8AC3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olor w:val="2E74B5"/>
                <w:kern w:val="0"/>
                <w:szCs w:val="21"/>
              </w:rPr>
            </w:pPr>
            <w:r>
              <w:rPr>
                <w:color w:val="2E74B5"/>
                <w:kern w:val="0"/>
                <w:szCs w:val="21"/>
              </w:rPr>
              <w:t>09</w:t>
            </w:r>
            <w:r>
              <w:rPr>
                <w:rFonts w:hint="eastAsia"/>
                <w:color w:val="2E74B5"/>
                <w:kern w:val="0"/>
                <w:szCs w:val="21"/>
              </w:rPr>
              <w:t>:</w:t>
            </w:r>
            <w:r>
              <w:rPr>
                <w:rFonts w:hint="eastAsia"/>
                <w:color w:val="2E74B5"/>
                <w:kern w:val="0"/>
                <w:szCs w:val="21"/>
                <w:lang w:val="en-US" w:eastAsia="zh-CN"/>
              </w:rPr>
              <w:t>00</w:t>
            </w:r>
            <w:r>
              <w:rPr>
                <w:rFonts w:hint="eastAsia"/>
                <w:color w:val="2E74B5"/>
                <w:kern w:val="0"/>
                <w:szCs w:val="21"/>
              </w:rPr>
              <w:t>-</w:t>
            </w:r>
            <w:r>
              <w:rPr>
                <w:color w:val="2E74B5"/>
                <w:kern w:val="0"/>
                <w:szCs w:val="21"/>
              </w:rPr>
              <w:t>12</w:t>
            </w:r>
            <w:r>
              <w:rPr>
                <w:rFonts w:hint="eastAsia"/>
                <w:color w:val="2E74B5"/>
                <w:kern w:val="0"/>
                <w:szCs w:val="21"/>
              </w:rPr>
              <w:t>:</w:t>
            </w:r>
            <w:r>
              <w:rPr>
                <w:color w:val="2E74B5"/>
                <w:kern w:val="0"/>
                <w:szCs w:val="21"/>
              </w:rPr>
              <w:t>0</w:t>
            </w:r>
            <w:r>
              <w:rPr>
                <w:rFonts w:hint="eastAsia"/>
                <w:color w:val="2E74B5"/>
                <w:kern w:val="0"/>
                <w:szCs w:val="21"/>
              </w:rPr>
              <w:t>0</w:t>
            </w:r>
          </w:p>
          <w:p w14:paraId="5B739BC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等线" w:hAnsi="等线" w:eastAsia="等线" w:cs="等线"/>
                <w:kern w:val="0"/>
                <w:szCs w:val="21"/>
                <w:lang w:val="en-US" w:eastAsia="zh-CN"/>
              </w:rPr>
            </w:pPr>
            <w:r>
              <w:rPr>
                <w:rFonts w:hint="eastAsia" w:ascii="等线" w:hAnsi="等线" w:eastAsia="等线" w:cs="等线"/>
                <w:kern w:val="0"/>
                <w:szCs w:val="21"/>
                <w:lang w:val="en-US" w:eastAsia="zh-CN"/>
              </w:rPr>
              <w:t>线下+线上</w:t>
            </w:r>
          </w:p>
        </w:tc>
        <w:tc>
          <w:tcPr>
            <w:tcW w:w="639" w:type="pct"/>
            <w:tcBorders>
              <w:top w:val="single" w:color="4F81BD" w:sz="4" w:space="0"/>
              <w:left w:val="single" w:color="4F81BD" w:sz="4" w:space="0"/>
              <w:bottom w:val="single" w:color="4F81BD" w:sz="4" w:space="0"/>
              <w:right w:val="single" w:color="4F81BD" w:sz="4" w:space="0"/>
            </w:tcBorders>
            <w:shd w:val="clear" w:color="auto" w:fill="BDD6EE"/>
            <w:noWrap w:val="0"/>
            <w:vAlign w:val="center"/>
          </w:tcPr>
          <w:p w14:paraId="37E6F46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专题讲座</w:t>
            </w:r>
          </w:p>
        </w:tc>
        <w:tc>
          <w:tcPr>
            <w:tcW w:w="3078" w:type="pct"/>
            <w:tcBorders>
              <w:top w:val="single" w:color="4F81BD" w:sz="4" w:space="0"/>
              <w:left w:val="single" w:color="4F81BD" w:sz="4" w:space="0"/>
              <w:bottom w:val="single" w:color="4F81BD" w:sz="4" w:space="0"/>
            </w:tcBorders>
            <w:shd w:val="clear" w:color="auto" w:fill="BDD6EE"/>
            <w:noWrap w:val="0"/>
            <w:vAlign w:val="center"/>
          </w:tcPr>
          <w:p w14:paraId="77677B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理论篇：深度混合式教学的“第一性原理”</w:t>
            </w:r>
          </w:p>
        </w:tc>
      </w:tr>
      <w:tr w14:paraId="4A6920B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90" w:hRule="atLeast"/>
          <w:jc w:val="center"/>
        </w:trPr>
        <w:tc>
          <w:tcPr>
            <w:tcW w:w="564" w:type="pct"/>
            <w:vMerge w:val="continue"/>
            <w:tcBorders>
              <w:top w:val="single" w:color="4F81BD" w:sz="4" w:space="0"/>
              <w:bottom w:val="single" w:color="4F81BD" w:sz="4" w:space="0"/>
              <w:right w:val="single" w:color="4F81BD" w:sz="4" w:space="0"/>
            </w:tcBorders>
            <w:noWrap w:val="0"/>
            <w:vAlign w:val="center"/>
          </w:tcPr>
          <w:p w14:paraId="1111AA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p>
        </w:tc>
        <w:tc>
          <w:tcPr>
            <w:tcW w:w="717" w:type="pct"/>
            <w:vMerge w:val="continue"/>
            <w:tcBorders>
              <w:top w:val="single" w:color="4F81BD" w:sz="4" w:space="0"/>
              <w:left w:val="single" w:color="4F81BD" w:sz="4" w:space="0"/>
              <w:bottom w:val="single" w:color="4F81BD" w:sz="4" w:space="0"/>
              <w:right w:val="single" w:color="4F81BD" w:sz="4" w:space="0"/>
            </w:tcBorders>
            <w:noWrap w:val="0"/>
            <w:vAlign w:val="center"/>
          </w:tcPr>
          <w:p w14:paraId="05AFE5E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p>
        </w:tc>
        <w:tc>
          <w:tcPr>
            <w:tcW w:w="639" w:type="pct"/>
            <w:tcBorders>
              <w:top w:val="single" w:color="4F81BD" w:sz="4" w:space="0"/>
              <w:left w:val="single" w:color="4F81BD" w:sz="4" w:space="0"/>
              <w:bottom w:val="single" w:color="4F81BD" w:sz="4" w:space="0"/>
              <w:right w:val="single" w:color="4F81BD" w:sz="4" w:space="0"/>
            </w:tcBorders>
            <w:noWrap w:val="0"/>
            <w:vAlign w:val="center"/>
          </w:tcPr>
          <w:p w14:paraId="00A19AE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r>
              <w:rPr>
                <w:rFonts w:hint="eastAsia" w:ascii="宋体" w:hAnsi="宋体" w:eastAsia="等线"/>
                <w:b/>
                <w:kern w:val="0"/>
                <w:szCs w:val="21"/>
              </w:rPr>
              <w:t>培训内容</w:t>
            </w:r>
          </w:p>
        </w:tc>
        <w:tc>
          <w:tcPr>
            <w:tcW w:w="3078" w:type="pct"/>
            <w:tcBorders>
              <w:top w:val="single" w:color="4F81BD" w:sz="4" w:space="0"/>
              <w:left w:val="single" w:color="4F81BD" w:sz="4" w:space="0"/>
              <w:bottom w:val="single" w:color="4F81BD" w:sz="4" w:space="0"/>
            </w:tcBorders>
            <w:noWrap w:val="0"/>
            <w:vAlign w:val="center"/>
          </w:tcPr>
          <w:p w14:paraId="7222D4E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Theme="minorEastAsia"/>
                <w:kern w:val="0"/>
                <w:szCs w:val="21"/>
                <w:lang w:eastAsia="zh-CN"/>
              </w:rPr>
            </w:pPr>
            <w:r>
              <w:rPr>
                <w:rFonts w:hint="eastAsia" w:ascii="宋体" w:hAnsi="宋体" w:eastAsiaTheme="minorEastAsia"/>
                <w:kern w:val="0"/>
                <w:szCs w:val="21"/>
                <w:lang w:eastAsia="zh-CN"/>
              </w:rPr>
              <w:t>1</w:t>
            </w:r>
            <w:r>
              <w:rPr>
                <w:rFonts w:hint="eastAsia" w:ascii="宋体" w:hAnsi="宋体"/>
                <w:kern w:val="0"/>
                <w:szCs w:val="21"/>
                <w:lang w:val="en-US" w:eastAsia="zh-CN"/>
              </w:rPr>
              <w:t>.</w:t>
            </w:r>
            <w:r>
              <w:rPr>
                <w:rFonts w:hint="eastAsia" w:ascii="宋体" w:hAnsi="宋体" w:eastAsiaTheme="minorEastAsia"/>
                <w:kern w:val="0"/>
                <w:szCs w:val="21"/>
                <w:lang w:eastAsia="zh-CN"/>
              </w:rPr>
              <w:t>人工智能背景下混合式教学新内涵</w:t>
            </w:r>
          </w:p>
          <w:p w14:paraId="35010EF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Theme="minorEastAsia"/>
                <w:kern w:val="0"/>
                <w:szCs w:val="21"/>
                <w:lang w:eastAsia="zh-CN"/>
              </w:rPr>
            </w:pPr>
            <w:r>
              <w:rPr>
                <w:rFonts w:hint="eastAsia" w:ascii="宋体" w:hAnsi="宋体" w:eastAsiaTheme="minorEastAsia"/>
                <w:kern w:val="0"/>
                <w:szCs w:val="21"/>
                <w:lang w:eastAsia="zh-CN"/>
              </w:rPr>
              <w:t>2</w:t>
            </w:r>
            <w:r>
              <w:rPr>
                <w:rFonts w:hint="eastAsia" w:ascii="宋体" w:hAnsi="宋体"/>
                <w:kern w:val="0"/>
                <w:szCs w:val="21"/>
                <w:lang w:val="en-US" w:eastAsia="zh-CN"/>
              </w:rPr>
              <w:t>.</w:t>
            </w:r>
            <w:r>
              <w:rPr>
                <w:rFonts w:hint="eastAsia" w:ascii="宋体" w:hAnsi="宋体" w:eastAsiaTheme="minorEastAsia"/>
                <w:kern w:val="0"/>
                <w:szCs w:val="21"/>
                <w:lang w:eastAsia="zh-CN"/>
              </w:rPr>
              <w:t>智能平台赋能深度混合式教学实践</w:t>
            </w:r>
          </w:p>
          <w:p w14:paraId="22136CE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Theme="minorEastAsia"/>
                <w:kern w:val="0"/>
                <w:szCs w:val="21"/>
                <w:lang w:eastAsia="zh-CN"/>
              </w:rPr>
            </w:pPr>
            <w:r>
              <w:rPr>
                <w:rFonts w:hint="eastAsia" w:ascii="宋体" w:hAnsi="宋体" w:eastAsiaTheme="minorEastAsia"/>
                <w:kern w:val="0"/>
                <w:szCs w:val="21"/>
                <w:lang w:eastAsia="zh-CN"/>
              </w:rPr>
              <w:t>3</w:t>
            </w:r>
            <w:r>
              <w:rPr>
                <w:rFonts w:hint="eastAsia" w:ascii="宋体" w:hAnsi="宋体"/>
                <w:kern w:val="0"/>
                <w:szCs w:val="21"/>
                <w:lang w:val="en-US" w:eastAsia="zh-CN"/>
              </w:rPr>
              <w:t>.</w:t>
            </w:r>
            <w:r>
              <w:rPr>
                <w:rFonts w:hint="eastAsia" w:ascii="宋体" w:hAnsi="宋体" w:eastAsiaTheme="minorEastAsia"/>
                <w:kern w:val="0"/>
                <w:szCs w:val="21"/>
                <w:lang w:eastAsia="zh-CN"/>
              </w:rPr>
              <w:t>智慧教学理念下课堂教学创新案例</w:t>
            </w:r>
          </w:p>
          <w:p w14:paraId="06F7F6B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Theme="minorEastAsia"/>
                <w:kern w:val="0"/>
                <w:szCs w:val="21"/>
                <w:lang w:eastAsia="zh-CN"/>
              </w:rPr>
            </w:pPr>
            <w:r>
              <w:rPr>
                <w:rFonts w:hint="eastAsia" w:ascii="宋体" w:hAnsi="宋体" w:eastAsiaTheme="minorEastAsia"/>
                <w:kern w:val="0"/>
                <w:szCs w:val="21"/>
                <w:lang w:eastAsia="zh-CN"/>
              </w:rPr>
              <w:t>4</w:t>
            </w:r>
            <w:r>
              <w:rPr>
                <w:rFonts w:hint="eastAsia" w:ascii="宋体" w:hAnsi="宋体"/>
                <w:kern w:val="0"/>
                <w:szCs w:val="21"/>
                <w:lang w:val="en-US" w:eastAsia="zh-CN"/>
              </w:rPr>
              <w:t>.</w:t>
            </w:r>
            <w:r>
              <w:rPr>
                <w:rFonts w:hint="eastAsia" w:ascii="宋体" w:hAnsi="宋体" w:eastAsiaTheme="minorEastAsia"/>
                <w:kern w:val="0"/>
                <w:szCs w:val="21"/>
                <w:lang w:eastAsia="zh-CN"/>
              </w:rPr>
              <w:t>场景式、体验式教学设计提升方略</w:t>
            </w:r>
          </w:p>
        </w:tc>
      </w:tr>
      <w:tr w14:paraId="249839B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34" w:hRule="atLeast"/>
          <w:jc w:val="center"/>
        </w:trPr>
        <w:tc>
          <w:tcPr>
            <w:tcW w:w="564" w:type="pct"/>
            <w:vMerge w:val="continue"/>
            <w:tcBorders>
              <w:top w:val="single" w:color="4F81BD" w:sz="4" w:space="0"/>
              <w:bottom w:val="single" w:color="4F81BD" w:sz="4" w:space="0"/>
              <w:right w:val="single" w:color="4F81BD" w:sz="4" w:space="0"/>
            </w:tcBorders>
            <w:shd w:val="clear" w:color="auto" w:fill="auto"/>
            <w:noWrap w:val="0"/>
            <w:vAlign w:val="center"/>
          </w:tcPr>
          <w:p w14:paraId="51D38D9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2E74B5"/>
                <w:kern w:val="0"/>
                <w:szCs w:val="21"/>
              </w:rPr>
            </w:pPr>
          </w:p>
        </w:tc>
        <w:tc>
          <w:tcPr>
            <w:tcW w:w="717" w:type="pct"/>
            <w:vMerge w:val="restart"/>
            <w:tcBorders>
              <w:top w:val="single" w:color="4F81BD" w:sz="4" w:space="0"/>
              <w:left w:val="single" w:color="4F81BD" w:sz="4" w:space="0"/>
              <w:bottom w:val="single" w:color="4F81BD" w:sz="4" w:space="0"/>
              <w:right w:val="single" w:color="4F81BD" w:sz="4" w:space="0"/>
            </w:tcBorders>
            <w:shd w:val="clear" w:color="auto" w:fill="auto"/>
            <w:noWrap w:val="0"/>
            <w:vAlign w:val="center"/>
          </w:tcPr>
          <w:p w14:paraId="7C5BFBC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2E74B5"/>
                <w:kern w:val="0"/>
                <w:szCs w:val="21"/>
              </w:rPr>
            </w:pPr>
            <w:r>
              <w:rPr>
                <w:color w:val="2E74B5"/>
                <w:kern w:val="0"/>
                <w:szCs w:val="21"/>
              </w:rPr>
              <w:t>14</w:t>
            </w:r>
            <w:r>
              <w:rPr>
                <w:rFonts w:hint="eastAsia"/>
                <w:color w:val="2E74B5"/>
                <w:kern w:val="0"/>
                <w:szCs w:val="21"/>
              </w:rPr>
              <w:t>:</w:t>
            </w:r>
            <w:r>
              <w:rPr>
                <w:color w:val="2E74B5"/>
                <w:kern w:val="0"/>
                <w:szCs w:val="21"/>
              </w:rPr>
              <w:t>0</w:t>
            </w:r>
            <w:r>
              <w:rPr>
                <w:rFonts w:hint="eastAsia"/>
                <w:color w:val="2E74B5"/>
                <w:kern w:val="0"/>
                <w:szCs w:val="21"/>
              </w:rPr>
              <w:t>0-</w:t>
            </w:r>
            <w:r>
              <w:rPr>
                <w:color w:val="2E74B5"/>
                <w:kern w:val="0"/>
                <w:szCs w:val="21"/>
              </w:rPr>
              <w:t>17</w:t>
            </w:r>
            <w:r>
              <w:rPr>
                <w:rFonts w:hint="eastAsia"/>
                <w:color w:val="2E74B5"/>
                <w:kern w:val="0"/>
                <w:szCs w:val="21"/>
              </w:rPr>
              <w:t>:</w:t>
            </w:r>
            <w:r>
              <w:rPr>
                <w:color w:val="2E74B5"/>
                <w:kern w:val="0"/>
                <w:szCs w:val="21"/>
              </w:rPr>
              <w:t>00</w:t>
            </w:r>
          </w:p>
          <w:p w14:paraId="27CBEC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等线" w:hAnsi="等线" w:eastAsia="等线" w:cs="等线"/>
                <w:kern w:val="0"/>
                <w:szCs w:val="21"/>
                <w:lang w:val="en-US" w:eastAsia="zh-CN"/>
              </w:rPr>
            </w:pPr>
            <w:r>
              <w:rPr>
                <w:rFonts w:hint="eastAsia" w:ascii="等线" w:hAnsi="等线" w:eastAsia="等线" w:cs="等线"/>
                <w:kern w:val="0"/>
                <w:szCs w:val="21"/>
                <w:lang w:val="en-US" w:eastAsia="zh-CN"/>
              </w:rPr>
              <w:t>线下+线上</w:t>
            </w:r>
          </w:p>
        </w:tc>
        <w:tc>
          <w:tcPr>
            <w:tcW w:w="639" w:type="pct"/>
            <w:tcBorders>
              <w:top w:val="single" w:color="4F81BD" w:sz="4" w:space="0"/>
              <w:left w:val="single" w:color="4F81BD" w:sz="4" w:space="0"/>
              <w:bottom w:val="single" w:color="4F81BD" w:sz="4" w:space="0"/>
              <w:right w:val="single" w:color="4F81BD" w:sz="4" w:space="0"/>
            </w:tcBorders>
            <w:shd w:val="clear" w:color="auto" w:fill="BDD6EE"/>
            <w:noWrap w:val="0"/>
            <w:vAlign w:val="center"/>
          </w:tcPr>
          <w:p w14:paraId="3AF701D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工作坊1</w:t>
            </w:r>
          </w:p>
        </w:tc>
        <w:tc>
          <w:tcPr>
            <w:tcW w:w="3078" w:type="pct"/>
            <w:tcBorders>
              <w:top w:val="single" w:color="4F81BD" w:sz="4" w:space="0"/>
              <w:left w:val="single" w:color="4F81BD" w:sz="4" w:space="0"/>
              <w:bottom w:val="single" w:color="4F81BD" w:sz="4" w:space="0"/>
            </w:tcBorders>
            <w:shd w:val="clear" w:color="auto" w:fill="BDD6EE"/>
            <w:noWrap w:val="0"/>
            <w:vAlign w:val="center"/>
          </w:tcPr>
          <w:p w14:paraId="75C4AB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实践篇：基于AI的课堂教学设计创新工作坊</w:t>
            </w:r>
          </w:p>
        </w:tc>
      </w:tr>
      <w:tr w14:paraId="1D8473E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1684" w:hRule="atLeast"/>
          <w:jc w:val="center"/>
        </w:trPr>
        <w:tc>
          <w:tcPr>
            <w:tcW w:w="564" w:type="pct"/>
            <w:vMerge w:val="continue"/>
            <w:tcBorders>
              <w:top w:val="single" w:color="4F81BD" w:sz="4" w:space="0"/>
              <w:bottom w:val="single" w:color="4F81BD" w:sz="4" w:space="0"/>
              <w:right w:val="single" w:color="4F81BD" w:sz="4" w:space="0"/>
            </w:tcBorders>
            <w:noWrap w:val="0"/>
            <w:vAlign w:val="center"/>
          </w:tcPr>
          <w:p w14:paraId="686EC5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p>
        </w:tc>
        <w:tc>
          <w:tcPr>
            <w:tcW w:w="717" w:type="pct"/>
            <w:vMerge w:val="continue"/>
            <w:tcBorders>
              <w:top w:val="single" w:color="4F81BD" w:sz="4" w:space="0"/>
              <w:left w:val="single" w:color="4F81BD" w:sz="4" w:space="0"/>
              <w:bottom w:val="single" w:color="4F81BD" w:sz="4" w:space="0"/>
              <w:right w:val="single" w:color="4F81BD" w:sz="4" w:space="0"/>
            </w:tcBorders>
            <w:noWrap w:val="0"/>
            <w:vAlign w:val="center"/>
          </w:tcPr>
          <w:p w14:paraId="26DA9A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b/>
                <w:kern w:val="0"/>
                <w:szCs w:val="21"/>
              </w:rPr>
            </w:pPr>
          </w:p>
        </w:tc>
        <w:tc>
          <w:tcPr>
            <w:tcW w:w="639" w:type="pct"/>
            <w:tcBorders>
              <w:top w:val="single" w:color="4F81BD" w:sz="4" w:space="0"/>
              <w:left w:val="single" w:color="4F81BD" w:sz="4" w:space="0"/>
              <w:bottom w:val="single" w:color="4F81BD" w:sz="4" w:space="0"/>
              <w:right w:val="single" w:color="4F81BD" w:sz="4" w:space="0"/>
            </w:tcBorders>
            <w:noWrap w:val="0"/>
            <w:vAlign w:val="center"/>
          </w:tcPr>
          <w:p w14:paraId="20CB716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培训内容</w:t>
            </w:r>
          </w:p>
        </w:tc>
        <w:tc>
          <w:tcPr>
            <w:tcW w:w="3078" w:type="pct"/>
            <w:tcBorders>
              <w:top w:val="single" w:color="4F81BD" w:sz="4" w:space="0"/>
              <w:left w:val="single" w:color="4F81BD" w:sz="4" w:space="0"/>
              <w:bottom w:val="single" w:color="4F81BD" w:sz="4" w:space="0"/>
            </w:tcBorders>
            <w:noWrap w:val="0"/>
            <w:vAlign w:val="center"/>
          </w:tcPr>
          <w:p w14:paraId="46FA421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kern w:val="0"/>
                <w:szCs w:val="21"/>
              </w:rPr>
            </w:pPr>
            <w:r>
              <w:rPr>
                <w:rFonts w:hint="eastAsia" w:ascii="宋体" w:hAnsi="宋体"/>
                <w:kern w:val="0"/>
                <w:szCs w:val="21"/>
              </w:rPr>
              <w:t>1</w:t>
            </w:r>
            <w:r>
              <w:rPr>
                <w:rFonts w:hint="eastAsia" w:ascii="宋体" w:hAnsi="宋体"/>
                <w:kern w:val="0"/>
                <w:szCs w:val="21"/>
                <w:lang w:val="en-US" w:eastAsia="zh-CN"/>
              </w:rPr>
              <w:t>.</w:t>
            </w:r>
            <w:r>
              <w:rPr>
                <w:rFonts w:hint="eastAsia" w:ascii="宋体" w:hAnsi="宋体"/>
                <w:kern w:val="0"/>
                <w:szCs w:val="21"/>
              </w:rPr>
              <w:t>教学设计的内涵和各模块要素关系</w:t>
            </w:r>
          </w:p>
          <w:p w14:paraId="5FD36CA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kern w:val="0"/>
                <w:szCs w:val="21"/>
              </w:rPr>
            </w:pPr>
            <w:r>
              <w:rPr>
                <w:rFonts w:hint="eastAsia" w:ascii="宋体" w:hAnsi="宋体"/>
                <w:kern w:val="0"/>
                <w:szCs w:val="21"/>
              </w:rPr>
              <w:t>2</w:t>
            </w:r>
            <w:r>
              <w:rPr>
                <w:rFonts w:hint="eastAsia" w:ascii="宋体" w:hAnsi="宋体"/>
                <w:kern w:val="0"/>
                <w:szCs w:val="21"/>
                <w:lang w:val="en-US" w:eastAsia="zh-CN"/>
              </w:rPr>
              <w:t>.</w:t>
            </w:r>
            <w:r>
              <w:rPr>
                <w:rFonts w:hint="eastAsia" w:ascii="宋体" w:hAnsi="宋体"/>
                <w:kern w:val="0"/>
                <w:szCs w:val="21"/>
              </w:rPr>
              <w:t>如何基于大模型提升课程目标“含金量”</w:t>
            </w:r>
          </w:p>
          <w:p w14:paraId="238A683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kern w:val="0"/>
                <w:szCs w:val="21"/>
              </w:rPr>
            </w:pPr>
            <w:r>
              <w:rPr>
                <w:rFonts w:hint="eastAsia" w:ascii="宋体" w:hAnsi="宋体"/>
                <w:kern w:val="0"/>
                <w:szCs w:val="21"/>
              </w:rPr>
              <w:t>3</w:t>
            </w:r>
            <w:r>
              <w:rPr>
                <w:rFonts w:hint="eastAsia" w:ascii="宋体" w:hAnsi="宋体"/>
                <w:kern w:val="0"/>
                <w:szCs w:val="21"/>
                <w:lang w:val="en-US" w:eastAsia="zh-CN"/>
              </w:rPr>
              <w:t>.</w:t>
            </w:r>
            <w:r>
              <w:rPr>
                <w:rFonts w:hint="eastAsia" w:ascii="宋体" w:hAnsi="宋体"/>
                <w:kern w:val="0"/>
                <w:szCs w:val="21"/>
              </w:rPr>
              <w:t>如何运用智能工具开展可视化学情分析</w:t>
            </w:r>
          </w:p>
          <w:p w14:paraId="7A3F145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kern w:val="0"/>
                <w:szCs w:val="21"/>
              </w:rPr>
            </w:pPr>
            <w:r>
              <w:rPr>
                <w:rFonts w:hint="eastAsia" w:ascii="宋体" w:hAnsi="宋体"/>
                <w:kern w:val="0"/>
                <w:szCs w:val="21"/>
              </w:rPr>
              <w:t>4</w:t>
            </w:r>
            <w:r>
              <w:rPr>
                <w:rFonts w:hint="eastAsia" w:ascii="宋体" w:hAnsi="宋体"/>
                <w:kern w:val="0"/>
                <w:szCs w:val="21"/>
                <w:lang w:val="en-US" w:eastAsia="zh-CN"/>
              </w:rPr>
              <w:t>.</w:t>
            </w:r>
            <w:r>
              <w:rPr>
                <w:rFonts w:hint="eastAsia" w:ascii="宋体" w:hAnsi="宋体"/>
                <w:kern w:val="0"/>
                <w:szCs w:val="21"/>
              </w:rPr>
              <w:t>如何精准开展教学重点分析和教学方案制定</w:t>
            </w:r>
          </w:p>
          <w:p w14:paraId="7669AB4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kern w:val="0"/>
                <w:szCs w:val="21"/>
              </w:rPr>
            </w:pPr>
            <w:r>
              <w:rPr>
                <w:rFonts w:hint="eastAsia" w:ascii="宋体" w:hAnsi="宋体"/>
                <w:kern w:val="0"/>
                <w:szCs w:val="21"/>
              </w:rPr>
              <w:t>5</w:t>
            </w:r>
            <w:r>
              <w:rPr>
                <w:rFonts w:hint="eastAsia" w:ascii="宋体" w:hAnsi="宋体"/>
                <w:kern w:val="0"/>
                <w:szCs w:val="21"/>
                <w:lang w:val="en-US" w:eastAsia="zh-CN"/>
              </w:rPr>
              <w:t>.</w:t>
            </w:r>
            <w:r>
              <w:rPr>
                <w:rFonts w:hint="eastAsia" w:ascii="宋体" w:hAnsi="宋体"/>
                <w:kern w:val="0"/>
                <w:szCs w:val="21"/>
              </w:rPr>
              <w:t>如何基于大模型生成高质量教学资源</w:t>
            </w:r>
          </w:p>
          <w:p w14:paraId="2B93574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kern w:val="0"/>
                <w:szCs w:val="21"/>
              </w:rPr>
            </w:pPr>
            <w:r>
              <w:rPr>
                <w:rFonts w:hint="eastAsia" w:ascii="宋体" w:hAnsi="宋体"/>
                <w:kern w:val="0"/>
                <w:szCs w:val="21"/>
              </w:rPr>
              <w:t>6</w:t>
            </w:r>
            <w:r>
              <w:rPr>
                <w:rFonts w:hint="eastAsia" w:ascii="宋体" w:hAnsi="宋体"/>
                <w:kern w:val="0"/>
                <w:szCs w:val="21"/>
                <w:lang w:val="en-US" w:eastAsia="zh-CN"/>
              </w:rPr>
              <w:t>.</w:t>
            </w:r>
            <w:r>
              <w:rPr>
                <w:rFonts w:hint="eastAsia" w:ascii="宋体" w:hAnsi="宋体"/>
                <w:kern w:val="0"/>
                <w:szCs w:val="21"/>
              </w:rPr>
              <w:t>如何打造课程知识脑图、搭建知识图谱</w:t>
            </w:r>
          </w:p>
          <w:p w14:paraId="78317DA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kern w:val="0"/>
                <w:szCs w:val="21"/>
              </w:rPr>
            </w:pPr>
            <w:r>
              <w:rPr>
                <w:rFonts w:hint="eastAsia" w:ascii="宋体" w:hAnsi="宋体"/>
                <w:kern w:val="0"/>
                <w:szCs w:val="21"/>
              </w:rPr>
              <w:t>7</w:t>
            </w:r>
            <w:r>
              <w:rPr>
                <w:rFonts w:hint="eastAsia" w:ascii="宋体" w:hAnsi="宋体"/>
                <w:kern w:val="0"/>
                <w:szCs w:val="21"/>
                <w:lang w:val="en-US" w:eastAsia="zh-CN"/>
              </w:rPr>
              <w:t>.</w:t>
            </w:r>
            <w:r>
              <w:rPr>
                <w:rFonts w:hint="eastAsia" w:ascii="宋体" w:hAnsi="宋体"/>
                <w:kern w:val="0"/>
                <w:szCs w:val="21"/>
              </w:rPr>
              <w:t>如何基于知识图谱开展智慧教学</w:t>
            </w:r>
          </w:p>
          <w:p w14:paraId="644BDAE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kern w:val="0"/>
                <w:szCs w:val="21"/>
              </w:rPr>
            </w:pPr>
            <w:r>
              <w:rPr>
                <w:rFonts w:hint="eastAsia" w:ascii="宋体" w:hAnsi="宋体"/>
                <w:kern w:val="0"/>
                <w:szCs w:val="21"/>
              </w:rPr>
              <w:t>8</w:t>
            </w:r>
            <w:r>
              <w:rPr>
                <w:rFonts w:hint="eastAsia" w:ascii="宋体" w:hAnsi="宋体"/>
                <w:kern w:val="0"/>
                <w:szCs w:val="21"/>
                <w:lang w:val="en-US" w:eastAsia="zh-CN"/>
              </w:rPr>
              <w:t>.</w:t>
            </w:r>
            <w:r>
              <w:rPr>
                <w:rFonts w:hint="eastAsia" w:ascii="宋体" w:hAnsi="宋体"/>
                <w:kern w:val="0"/>
                <w:szCs w:val="21"/>
              </w:rPr>
              <w:t>如何打造具有挑战度、针对性的评价体系</w:t>
            </w:r>
          </w:p>
          <w:p w14:paraId="5009E80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kern w:val="0"/>
                <w:szCs w:val="21"/>
              </w:rPr>
            </w:pPr>
            <w:r>
              <w:rPr>
                <w:rFonts w:hint="eastAsia" w:ascii="宋体" w:hAnsi="宋体"/>
                <w:kern w:val="0"/>
                <w:szCs w:val="21"/>
              </w:rPr>
              <w:t>9</w:t>
            </w:r>
            <w:r>
              <w:rPr>
                <w:rFonts w:hint="eastAsia" w:ascii="宋体" w:hAnsi="宋体"/>
                <w:kern w:val="0"/>
                <w:szCs w:val="21"/>
                <w:lang w:val="en-US" w:eastAsia="zh-CN"/>
              </w:rPr>
              <w:t>.</w:t>
            </w:r>
            <w:r>
              <w:rPr>
                <w:rFonts w:hint="eastAsia" w:ascii="宋体" w:hAnsi="宋体"/>
                <w:kern w:val="0"/>
                <w:szCs w:val="21"/>
              </w:rPr>
              <w:t>如何基于大模型打造可视化教学反思</w:t>
            </w:r>
          </w:p>
          <w:p w14:paraId="53383CAE">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kern w:val="0"/>
                <w:szCs w:val="21"/>
              </w:rPr>
            </w:pPr>
            <w:r>
              <w:rPr>
                <w:rFonts w:hint="eastAsia" w:ascii="宋体" w:hAnsi="宋体"/>
                <w:kern w:val="0"/>
                <w:szCs w:val="21"/>
              </w:rPr>
              <w:t>10</w:t>
            </w:r>
            <w:r>
              <w:rPr>
                <w:rFonts w:hint="eastAsia" w:ascii="宋体" w:hAnsi="宋体"/>
                <w:kern w:val="0"/>
                <w:szCs w:val="21"/>
                <w:lang w:val="en-US" w:eastAsia="zh-CN"/>
              </w:rPr>
              <w:t>.</w:t>
            </w:r>
            <w:r>
              <w:rPr>
                <w:rFonts w:hint="eastAsia" w:ascii="宋体" w:hAnsi="宋体"/>
                <w:kern w:val="0"/>
                <w:szCs w:val="21"/>
              </w:rPr>
              <w:t>如何提炼教学创新模式、形成教学成果</w:t>
            </w:r>
          </w:p>
        </w:tc>
      </w:tr>
      <w:tr w14:paraId="3A4B0FC4">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10" w:hRule="atLeast"/>
          <w:jc w:val="center"/>
        </w:trPr>
        <w:tc>
          <w:tcPr>
            <w:tcW w:w="564" w:type="pct"/>
            <w:vMerge w:val="restart"/>
            <w:tcBorders>
              <w:top w:val="single" w:color="4F81BD" w:sz="4" w:space="0"/>
              <w:bottom w:val="single" w:color="4F81BD" w:sz="4" w:space="0"/>
              <w:right w:val="single" w:color="4F81BD" w:sz="4" w:space="0"/>
            </w:tcBorders>
            <w:shd w:val="clear" w:color="auto" w:fill="auto"/>
            <w:noWrap w:val="0"/>
            <w:vAlign w:val="center"/>
          </w:tcPr>
          <w:p w14:paraId="179922D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2E74B5"/>
                <w:kern w:val="0"/>
                <w:szCs w:val="21"/>
              </w:rPr>
            </w:pPr>
            <w:r>
              <w:rPr>
                <w:rFonts w:hint="eastAsia" w:ascii="等线" w:hAnsi="等线" w:eastAsia="等线"/>
                <w:kern w:val="0"/>
                <w:szCs w:val="21"/>
                <w:lang w:val="en-US" w:eastAsia="zh-CN"/>
              </w:rPr>
              <w:t>2</w:t>
            </w:r>
            <w:r>
              <w:rPr>
                <w:rFonts w:hint="eastAsia" w:ascii="等线" w:hAnsi="等线" w:eastAsia="等线"/>
                <w:kern w:val="0"/>
                <w:szCs w:val="21"/>
              </w:rPr>
              <w:t>月</w:t>
            </w:r>
            <w:r>
              <w:rPr>
                <w:rFonts w:hint="eastAsia" w:ascii="等线" w:hAnsi="等线" w:eastAsia="等线"/>
                <w:kern w:val="0"/>
                <w:szCs w:val="21"/>
                <w:lang w:val="en-US" w:eastAsia="zh-CN"/>
              </w:rPr>
              <w:t>3</w:t>
            </w:r>
            <w:r>
              <w:rPr>
                <w:rFonts w:hint="eastAsia" w:ascii="等线" w:hAnsi="等线" w:eastAsia="等线"/>
                <w:kern w:val="0"/>
                <w:szCs w:val="21"/>
              </w:rPr>
              <w:t>日</w:t>
            </w:r>
          </w:p>
        </w:tc>
        <w:tc>
          <w:tcPr>
            <w:tcW w:w="717" w:type="pct"/>
            <w:vMerge w:val="restart"/>
            <w:tcBorders>
              <w:top w:val="single" w:color="4F81BD" w:sz="4" w:space="0"/>
              <w:left w:val="single" w:color="4F81BD" w:sz="4" w:space="0"/>
              <w:bottom w:val="single" w:color="4F81BD" w:sz="4" w:space="0"/>
              <w:right w:val="single" w:color="4F81BD" w:sz="4" w:space="0"/>
            </w:tcBorders>
            <w:shd w:val="clear" w:color="auto" w:fill="auto"/>
            <w:noWrap w:val="0"/>
            <w:vAlign w:val="center"/>
          </w:tcPr>
          <w:p w14:paraId="487FA2E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olor w:val="2E74B5"/>
                <w:kern w:val="0"/>
                <w:szCs w:val="21"/>
              </w:rPr>
            </w:pPr>
            <w:r>
              <w:rPr>
                <w:color w:val="2E74B5"/>
                <w:kern w:val="0"/>
                <w:szCs w:val="21"/>
              </w:rPr>
              <w:t>09</w:t>
            </w:r>
            <w:r>
              <w:rPr>
                <w:rFonts w:hint="eastAsia"/>
                <w:color w:val="2E74B5"/>
                <w:kern w:val="0"/>
                <w:szCs w:val="21"/>
              </w:rPr>
              <w:t>:</w:t>
            </w:r>
            <w:r>
              <w:rPr>
                <w:rFonts w:hint="eastAsia"/>
                <w:color w:val="2E74B5"/>
                <w:kern w:val="0"/>
                <w:szCs w:val="21"/>
                <w:lang w:val="en-US" w:eastAsia="zh-CN"/>
              </w:rPr>
              <w:t>00</w:t>
            </w:r>
            <w:r>
              <w:rPr>
                <w:rFonts w:hint="eastAsia"/>
                <w:color w:val="2E74B5"/>
                <w:kern w:val="0"/>
                <w:szCs w:val="21"/>
              </w:rPr>
              <w:t>-</w:t>
            </w:r>
            <w:r>
              <w:rPr>
                <w:color w:val="2E74B5"/>
                <w:kern w:val="0"/>
                <w:szCs w:val="21"/>
              </w:rPr>
              <w:t>1</w:t>
            </w:r>
            <w:r>
              <w:rPr>
                <w:rFonts w:hint="eastAsia"/>
                <w:color w:val="2E74B5"/>
                <w:kern w:val="0"/>
                <w:szCs w:val="21"/>
                <w:lang w:val="en-US" w:eastAsia="zh-CN"/>
              </w:rPr>
              <w:t>2</w:t>
            </w:r>
            <w:r>
              <w:rPr>
                <w:rFonts w:hint="eastAsia"/>
                <w:color w:val="2E74B5"/>
                <w:kern w:val="0"/>
                <w:szCs w:val="21"/>
              </w:rPr>
              <w:t>:</w:t>
            </w:r>
            <w:r>
              <w:rPr>
                <w:rFonts w:hint="eastAsia"/>
                <w:color w:val="2E74B5"/>
                <w:kern w:val="0"/>
                <w:szCs w:val="21"/>
                <w:lang w:val="en-US" w:eastAsia="zh-CN"/>
              </w:rPr>
              <w:t>0</w:t>
            </w:r>
            <w:r>
              <w:rPr>
                <w:rFonts w:hint="eastAsia"/>
                <w:color w:val="2E74B5"/>
                <w:kern w:val="0"/>
                <w:szCs w:val="21"/>
              </w:rPr>
              <w:t>0</w:t>
            </w:r>
          </w:p>
          <w:p w14:paraId="1A3C7F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olor w:val="2E74B5"/>
                <w:kern w:val="0"/>
                <w:szCs w:val="21"/>
              </w:rPr>
            </w:pPr>
            <w:r>
              <w:rPr>
                <w:rFonts w:hint="eastAsia" w:ascii="等线" w:hAnsi="等线" w:eastAsia="等线" w:cs="等线"/>
                <w:kern w:val="0"/>
                <w:szCs w:val="21"/>
                <w:lang w:val="en-US" w:eastAsia="zh-CN"/>
              </w:rPr>
              <w:t>线下+线上</w:t>
            </w:r>
          </w:p>
          <w:p w14:paraId="583F8D56">
            <w:pPr>
              <w:keepNext w:val="0"/>
              <w:keepLines w:val="0"/>
              <w:pageBreakBefore w:val="0"/>
              <w:widowControl w:val="0"/>
              <w:kinsoku/>
              <w:wordWrap/>
              <w:overflowPunct/>
              <w:topLinePunct w:val="0"/>
              <w:autoSpaceDE/>
              <w:autoSpaceDN/>
              <w:bidi w:val="0"/>
              <w:adjustRightInd/>
              <w:snapToGrid/>
              <w:spacing w:line="460" w:lineRule="exact"/>
              <w:jc w:val="both"/>
              <w:textAlignment w:val="auto"/>
              <w:rPr>
                <w:color w:val="2E74B5"/>
                <w:kern w:val="0"/>
                <w:szCs w:val="21"/>
              </w:rPr>
            </w:pPr>
          </w:p>
        </w:tc>
        <w:tc>
          <w:tcPr>
            <w:tcW w:w="639" w:type="pct"/>
            <w:tcBorders>
              <w:top w:val="single" w:color="4F81BD" w:sz="4" w:space="0"/>
              <w:left w:val="single" w:color="4F81BD" w:sz="4" w:space="0"/>
              <w:bottom w:val="single" w:color="4F81BD" w:sz="4" w:space="0"/>
              <w:right w:val="single" w:color="4F81BD" w:sz="4" w:space="0"/>
            </w:tcBorders>
            <w:shd w:val="clear" w:color="auto" w:fill="BDD6EE"/>
            <w:noWrap w:val="0"/>
            <w:vAlign w:val="center"/>
          </w:tcPr>
          <w:p w14:paraId="1F14A1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工作坊2</w:t>
            </w:r>
          </w:p>
        </w:tc>
        <w:tc>
          <w:tcPr>
            <w:tcW w:w="3078" w:type="pct"/>
            <w:tcBorders>
              <w:top w:val="single" w:color="4F81BD" w:sz="4" w:space="0"/>
              <w:left w:val="single" w:color="4F81BD" w:sz="4" w:space="0"/>
              <w:bottom w:val="single" w:color="4F81BD" w:sz="4" w:space="0"/>
            </w:tcBorders>
            <w:shd w:val="clear" w:color="auto" w:fill="BDD6EE"/>
            <w:noWrap w:val="0"/>
            <w:vAlign w:val="center"/>
          </w:tcPr>
          <w:p w14:paraId="55D6A24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创新篇：个性化教学设计与创新实践工坊</w:t>
            </w:r>
          </w:p>
        </w:tc>
      </w:tr>
      <w:tr w14:paraId="3EF1359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1880" w:hRule="atLeast"/>
          <w:jc w:val="center"/>
        </w:trPr>
        <w:tc>
          <w:tcPr>
            <w:tcW w:w="564" w:type="pct"/>
            <w:vMerge w:val="continue"/>
            <w:tcBorders>
              <w:top w:val="single" w:color="4F81BD" w:sz="4" w:space="0"/>
              <w:bottom w:val="single" w:color="4F81BD" w:sz="4" w:space="0"/>
              <w:right w:val="single" w:color="4F81BD" w:sz="4" w:space="0"/>
            </w:tcBorders>
            <w:shd w:val="clear" w:color="auto" w:fill="E7E6E6"/>
            <w:noWrap w:val="0"/>
            <w:vAlign w:val="center"/>
          </w:tcPr>
          <w:p w14:paraId="1ACA9B6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kern w:val="0"/>
                <w:szCs w:val="21"/>
              </w:rPr>
            </w:pPr>
          </w:p>
        </w:tc>
        <w:tc>
          <w:tcPr>
            <w:tcW w:w="717" w:type="pct"/>
            <w:vMerge w:val="continue"/>
            <w:tcBorders>
              <w:top w:val="single" w:color="4F81BD" w:sz="4" w:space="0"/>
              <w:left w:val="single" w:color="4F81BD" w:sz="4" w:space="0"/>
              <w:bottom w:val="single" w:color="4F81BD" w:sz="4" w:space="0"/>
              <w:right w:val="single" w:color="4F81BD" w:sz="4" w:space="0"/>
            </w:tcBorders>
            <w:shd w:val="clear" w:color="auto" w:fill="E7E6E6"/>
            <w:noWrap w:val="0"/>
            <w:vAlign w:val="center"/>
          </w:tcPr>
          <w:p w14:paraId="15253B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kern w:val="0"/>
                <w:szCs w:val="21"/>
              </w:rPr>
            </w:pPr>
          </w:p>
        </w:tc>
        <w:tc>
          <w:tcPr>
            <w:tcW w:w="639" w:type="pct"/>
            <w:tcBorders>
              <w:top w:val="single" w:color="4F81BD" w:sz="4" w:space="0"/>
              <w:left w:val="single" w:color="4F81BD" w:sz="4" w:space="0"/>
              <w:bottom w:val="single" w:color="4F81BD" w:sz="4" w:space="0"/>
              <w:right w:val="single" w:color="4F81BD" w:sz="4" w:space="0"/>
            </w:tcBorders>
            <w:noWrap w:val="0"/>
            <w:vAlign w:val="center"/>
          </w:tcPr>
          <w:p w14:paraId="361B22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eastAsia="等线"/>
                <w:b/>
                <w:kern w:val="0"/>
                <w:szCs w:val="21"/>
              </w:rPr>
            </w:pPr>
            <w:r>
              <w:rPr>
                <w:rFonts w:hint="eastAsia" w:ascii="宋体" w:hAnsi="宋体" w:eastAsia="等线"/>
                <w:b/>
                <w:kern w:val="0"/>
                <w:szCs w:val="21"/>
              </w:rPr>
              <w:t>培训内容</w:t>
            </w:r>
          </w:p>
        </w:tc>
        <w:tc>
          <w:tcPr>
            <w:tcW w:w="3078" w:type="pct"/>
            <w:tcBorders>
              <w:top w:val="single" w:color="4F81BD" w:sz="4" w:space="0"/>
              <w:left w:val="single" w:color="4F81BD" w:sz="4" w:space="0"/>
              <w:bottom w:val="single" w:color="4F81BD" w:sz="4" w:space="0"/>
            </w:tcBorders>
            <w:noWrap w:val="0"/>
            <w:vAlign w:val="center"/>
          </w:tcPr>
          <w:p w14:paraId="347EFF03">
            <w:pPr>
              <w:pStyle w:val="11"/>
              <w:keepNext w:val="0"/>
              <w:keepLines w:val="0"/>
              <w:pageBreakBefore w:val="0"/>
              <w:widowControl w:val="0"/>
              <w:numPr>
                <w:ilvl w:val="0"/>
                <w:numId w:val="0"/>
              </w:numPr>
              <w:kinsoku/>
              <w:wordWrap/>
              <w:overflowPunct/>
              <w:topLinePunct w:val="0"/>
              <w:autoSpaceDE/>
              <w:autoSpaceDN/>
              <w:bidi w:val="0"/>
              <w:snapToGrid/>
              <w:spacing w:line="440" w:lineRule="exact"/>
              <w:rPr>
                <w:rFonts w:hint="eastAsia" w:eastAsia="等线"/>
                <w:lang w:eastAsia="zh-CN"/>
              </w:rPr>
            </w:pPr>
            <w:r>
              <w:rPr>
                <w:rFonts w:hint="eastAsia" w:ascii="等线" w:hAnsi="等线" w:eastAsia="等线" w:cs="等线"/>
                <w:sz w:val="21"/>
                <w:szCs w:val="21"/>
                <w:lang w:val="en-US" w:eastAsia="zh-CN"/>
              </w:rPr>
              <w:t>指导教师设计一门课的混合式教学全部流程，包括如何基于智能平台开展深度混合、个性化教学设计，含教学资源设计、教学内容设计、教学组织安排设计、课堂教学模式设计、教学评价设计、学习路径设计，助力个性化教学的实现。</w:t>
            </w:r>
          </w:p>
        </w:tc>
      </w:tr>
      <w:bookmarkEnd w:id="0"/>
      <w:bookmarkEnd w:id="1"/>
      <w:tr w14:paraId="7724B78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434" w:hRule="atLeast"/>
          <w:jc w:val="center"/>
        </w:trPr>
        <w:tc>
          <w:tcPr>
            <w:tcW w:w="564" w:type="pct"/>
            <w:vMerge w:val="continue"/>
            <w:tcBorders>
              <w:top w:val="single" w:color="4F81BD" w:sz="4" w:space="0"/>
              <w:bottom w:val="single" w:color="4F81BD" w:sz="4" w:space="0"/>
              <w:right w:val="single" w:color="4F81BD" w:sz="4" w:space="0"/>
            </w:tcBorders>
            <w:shd w:val="clear" w:color="auto" w:fill="auto"/>
            <w:noWrap w:val="0"/>
            <w:vAlign w:val="center"/>
          </w:tcPr>
          <w:p w14:paraId="091DCBC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color w:val="2E74B5"/>
                <w:kern w:val="0"/>
                <w:szCs w:val="21"/>
              </w:rPr>
            </w:pPr>
          </w:p>
        </w:tc>
        <w:tc>
          <w:tcPr>
            <w:tcW w:w="717" w:type="pct"/>
            <w:tcBorders>
              <w:top w:val="single" w:color="4F81BD" w:sz="4" w:space="0"/>
              <w:left w:val="single" w:color="4F81BD" w:sz="4" w:space="0"/>
              <w:bottom w:val="single" w:color="4F81BD" w:sz="4" w:space="0"/>
              <w:right w:val="single" w:color="4F81BD" w:sz="4" w:space="0"/>
            </w:tcBorders>
            <w:shd w:val="clear" w:color="auto" w:fill="auto"/>
            <w:noWrap w:val="0"/>
            <w:vAlign w:val="center"/>
          </w:tcPr>
          <w:p w14:paraId="3245FA0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等线" w:hAnsi="等线" w:eastAsia="等线"/>
                <w:kern w:val="0"/>
                <w:szCs w:val="21"/>
                <w:lang w:val="en-US" w:eastAsia="zh-CN"/>
              </w:rPr>
            </w:pPr>
            <w:r>
              <w:rPr>
                <w:color w:val="2E74B5"/>
                <w:kern w:val="0"/>
                <w:szCs w:val="21"/>
              </w:rPr>
              <w:t>14</w:t>
            </w:r>
            <w:r>
              <w:rPr>
                <w:rFonts w:hint="eastAsia"/>
                <w:color w:val="2E74B5"/>
                <w:kern w:val="0"/>
                <w:szCs w:val="21"/>
              </w:rPr>
              <w:t>:</w:t>
            </w:r>
            <w:r>
              <w:rPr>
                <w:color w:val="2E74B5"/>
                <w:kern w:val="0"/>
                <w:szCs w:val="21"/>
              </w:rPr>
              <w:t>0</w:t>
            </w:r>
            <w:r>
              <w:rPr>
                <w:rFonts w:hint="eastAsia"/>
                <w:color w:val="2E74B5"/>
                <w:kern w:val="0"/>
                <w:szCs w:val="21"/>
              </w:rPr>
              <w:t>0-</w:t>
            </w:r>
            <w:r>
              <w:rPr>
                <w:color w:val="2E74B5"/>
                <w:kern w:val="0"/>
                <w:szCs w:val="21"/>
              </w:rPr>
              <w:t>17</w:t>
            </w:r>
            <w:r>
              <w:rPr>
                <w:rFonts w:hint="eastAsia"/>
                <w:color w:val="2E74B5"/>
                <w:kern w:val="0"/>
                <w:szCs w:val="21"/>
              </w:rPr>
              <w:t>:</w:t>
            </w:r>
            <w:r>
              <w:rPr>
                <w:color w:val="2E74B5"/>
                <w:kern w:val="0"/>
                <w:szCs w:val="21"/>
              </w:rPr>
              <w:t>00</w:t>
            </w:r>
          </w:p>
        </w:tc>
        <w:tc>
          <w:tcPr>
            <w:tcW w:w="3717" w:type="pct"/>
            <w:gridSpan w:val="2"/>
            <w:tcBorders>
              <w:top w:val="single" w:color="4F81BD" w:sz="4" w:space="0"/>
              <w:left w:val="single" w:color="4F81BD" w:sz="4" w:space="0"/>
              <w:bottom w:val="single" w:color="4F81BD" w:sz="4" w:space="0"/>
            </w:tcBorders>
            <w:shd w:val="clear" w:color="auto" w:fill="BDD6EE"/>
            <w:noWrap w:val="0"/>
            <w:vAlign w:val="center"/>
          </w:tcPr>
          <w:p w14:paraId="35A036D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宋体" w:hAnsi="宋体" w:eastAsia="等线"/>
                <w:b/>
                <w:kern w:val="0"/>
                <w:szCs w:val="21"/>
                <w:lang w:val="en-US" w:eastAsia="zh-CN"/>
              </w:rPr>
            </w:pPr>
            <w:r>
              <w:rPr>
                <w:rFonts w:hint="eastAsia" w:ascii="宋体" w:hAnsi="宋体" w:eastAsia="等线"/>
                <w:b/>
                <w:kern w:val="0"/>
                <w:szCs w:val="21"/>
                <w:lang w:val="en-US" w:eastAsia="zh-CN"/>
              </w:rPr>
              <w:t>自由研讨</w:t>
            </w:r>
          </w:p>
        </w:tc>
      </w:tr>
      <w:tr w14:paraId="22E1F05B">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108" w:type="dxa"/>
            <w:bottom w:w="0" w:type="dxa"/>
            <w:right w:w="108" w:type="dxa"/>
          </w:tblCellMar>
        </w:tblPrEx>
        <w:trPr>
          <w:trHeight w:val="312" w:hRule="atLeast"/>
          <w:jc w:val="center"/>
        </w:trPr>
        <w:tc>
          <w:tcPr>
            <w:tcW w:w="1282" w:type="pct"/>
            <w:gridSpan w:val="2"/>
            <w:tcBorders>
              <w:top w:val="single" w:color="4F81BD" w:sz="4" w:space="0"/>
              <w:bottom w:val="single" w:color="4F81BD" w:sz="4" w:space="0"/>
              <w:right w:val="single" w:color="4F81BD" w:sz="4" w:space="0"/>
            </w:tcBorders>
            <w:noWrap w:val="0"/>
            <w:vAlign w:val="center"/>
          </w:tcPr>
          <w:p w14:paraId="129F9228">
            <w:pPr>
              <w:keepNext w:val="0"/>
              <w:keepLines w:val="0"/>
              <w:pageBreakBefore w:val="0"/>
              <w:widowControl w:val="0"/>
              <w:kinsoku/>
              <w:wordWrap/>
              <w:overflowPunct/>
              <w:topLinePunct w:val="0"/>
              <w:autoSpaceDE/>
              <w:autoSpaceDN/>
              <w:bidi w:val="0"/>
              <w:adjustRightInd/>
              <w:snapToGrid/>
              <w:spacing w:after="63" w:afterLines="20" w:line="460" w:lineRule="exact"/>
              <w:jc w:val="center"/>
              <w:textAlignment w:val="auto"/>
              <w:rPr>
                <w:rFonts w:hint="default" w:ascii="等线" w:hAnsi="等线" w:eastAsia="等线"/>
                <w:kern w:val="0"/>
                <w:szCs w:val="21"/>
                <w:lang w:val="en-US"/>
              </w:rPr>
            </w:pPr>
            <w:r>
              <w:rPr>
                <w:rFonts w:hint="eastAsia" w:ascii="等线" w:hAnsi="等线" w:eastAsia="等线"/>
                <w:kern w:val="0"/>
                <w:szCs w:val="21"/>
                <w:lang w:val="en-US" w:eastAsia="zh-CN"/>
              </w:rPr>
              <w:t>2月4日</w:t>
            </w:r>
          </w:p>
        </w:tc>
        <w:tc>
          <w:tcPr>
            <w:tcW w:w="3717" w:type="pct"/>
            <w:gridSpan w:val="2"/>
            <w:tcBorders>
              <w:top w:val="single" w:color="4F81BD" w:sz="4" w:space="0"/>
              <w:left w:val="single" w:color="4F81BD" w:sz="4" w:space="0"/>
              <w:bottom w:val="single" w:color="4F81BD" w:sz="4" w:space="0"/>
            </w:tcBorders>
            <w:noWrap w:val="0"/>
            <w:vAlign w:val="center"/>
          </w:tcPr>
          <w:p w14:paraId="65A17F7C">
            <w:pPr>
              <w:keepNext w:val="0"/>
              <w:keepLines w:val="0"/>
              <w:pageBreakBefore w:val="0"/>
              <w:widowControl w:val="0"/>
              <w:kinsoku/>
              <w:wordWrap/>
              <w:overflowPunct/>
              <w:topLinePunct w:val="0"/>
              <w:autoSpaceDE/>
              <w:autoSpaceDN/>
              <w:bidi w:val="0"/>
              <w:adjustRightInd/>
              <w:snapToGrid/>
              <w:spacing w:after="63" w:afterLines="20" w:line="460" w:lineRule="exact"/>
              <w:jc w:val="center"/>
              <w:textAlignment w:val="auto"/>
              <w:rPr>
                <w:rFonts w:hint="default" w:ascii="宋体" w:hAnsi="宋体" w:eastAsia="等线"/>
                <w:b/>
                <w:kern w:val="0"/>
                <w:szCs w:val="21"/>
                <w:lang w:val="en-US" w:eastAsia="zh-CN"/>
              </w:rPr>
            </w:pPr>
            <w:r>
              <w:rPr>
                <w:rFonts w:hint="eastAsia" w:ascii="宋体" w:hAnsi="宋体" w:eastAsia="等线"/>
                <w:b/>
                <w:kern w:val="0"/>
                <w:szCs w:val="21"/>
              </w:rPr>
              <w:t>培训结束</w:t>
            </w:r>
            <w:r>
              <w:rPr>
                <w:rFonts w:hint="eastAsia" w:ascii="宋体" w:hAnsi="宋体" w:eastAsia="等线"/>
                <w:b/>
                <w:kern w:val="0"/>
                <w:szCs w:val="21"/>
                <w:lang w:eastAsia="zh-CN"/>
              </w:rPr>
              <w:t>，</w:t>
            </w:r>
            <w:r>
              <w:rPr>
                <w:rFonts w:hint="eastAsia" w:ascii="宋体" w:hAnsi="宋体" w:eastAsia="等线"/>
                <w:b/>
                <w:kern w:val="0"/>
                <w:szCs w:val="21"/>
                <w:lang w:val="en-US" w:eastAsia="zh-CN"/>
              </w:rPr>
              <w:t>返程。</w:t>
            </w:r>
          </w:p>
        </w:tc>
      </w:tr>
    </w:tbl>
    <w:p w14:paraId="21391A5A">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微软雅黑" w:hAnsi="微软雅黑" w:eastAsia="微软雅黑"/>
          <w:b/>
          <w:sz w:val="24"/>
          <w:szCs w:val="24"/>
        </w:rPr>
      </w:pPr>
      <w:r>
        <w:rPr>
          <w:rFonts w:hint="eastAsia" w:ascii="微软雅黑" w:hAnsi="微软雅黑" w:eastAsia="微软雅黑"/>
          <w:b/>
          <w:sz w:val="24"/>
          <w:szCs w:val="24"/>
        </w:rPr>
        <w:t>六、专家介绍</w:t>
      </w:r>
    </w:p>
    <w:p w14:paraId="31CEA52C">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 w:val="0"/>
          <w:bCs w:val="0"/>
          <w:color w:val="auto"/>
          <w:sz w:val="24"/>
          <w:szCs w:val="24"/>
          <w:lang w:eastAsia="zh-CN"/>
        </w:rPr>
      </w:pPr>
      <w:r>
        <w:rPr>
          <w:rFonts w:hint="eastAsia" w:ascii="等线" w:hAnsi="等线" w:eastAsia="等线" w:cs="等线"/>
          <w:b/>
          <w:bCs/>
          <w:color w:val="auto"/>
          <w:sz w:val="24"/>
          <w:szCs w:val="24"/>
          <w:lang w:eastAsia="zh-CN"/>
        </w:rPr>
        <w:t>刘学莘：</w:t>
      </w:r>
      <w:r>
        <w:rPr>
          <w:rFonts w:hint="eastAsia" w:ascii="等线" w:hAnsi="等线" w:eastAsia="等线" w:cs="等线"/>
          <w:b w:val="0"/>
          <w:bCs w:val="0"/>
          <w:color w:val="auto"/>
          <w:sz w:val="24"/>
          <w:szCs w:val="24"/>
          <w:lang w:eastAsia="zh-CN"/>
        </w:rPr>
        <w:t>福建农林大学教授、博士，硕士研究生导师，福建农林大学教学名师、“金山学者”领军教学人才、最高教学奖获得者，福建省“课程思政”教学名师。近年来，获得第二届全国高校教师教学创新大赛一等奖，福建省高校教师教学创新大赛一等奖，福建省高校青年教师教学竞赛一等奖；主持3门国家级一流本科课程，5门省级一流本科课程，1门省级课程思政示范课程，获得省部级教学成果一等奖2项，编著教材3部，担任多个省份、多所高校教学创新大赛、课程思政比赛、青教赛等竞赛评委。近年来先后受邀在全国100余所高校开展教师思政育人与信息化教学能力提升讲座、工作坊等百余场，深受广大高校同行认可。</w:t>
      </w:r>
    </w:p>
    <w:p w14:paraId="371AAC10">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微软雅黑" w:hAnsi="微软雅黑" w:eastAsia="微软雅黑"/>
          <w:b/>
          <w:sz w:val="24"/>
          <w:szCs w:val="24"/>
        </w:rPr>
      </w:pPr>
      <w:r>
        <w:rPr>
          <w:rFonts w:hint="eastAsia" w:ascii="微软雅黑" w:hAnsi="微软雅黑" w:eastAsia="微软雅黑"/>
          <w:b/>
          <w:sz w:val="24"/>
          <w:szCs w:val="24"/>
          <w:lang w:val="en-US" w:eastAsia="zh-CN"/>
        </w:rPr>
        <w:t>七</w:t>
      </w:r>
      <w:r>
        <w:rPr>
          <w:rFonts w:hint="eastAsia" w:ascii="微软雅黑" w:hAnsi="微软雅黑" w:eastAsia="微软雅黑"/>
          <w:b/>
          <w:sz w:val="24"/>
          <w:szCs w:val="24"/>
        </w:rPr>
        <w:t>、培训费用</w:t>
      </w:r>
    </w:p>
    <w:p w14:paraId="00E5CA19">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lang w:val="en-US" w:eastAsia="zh-CN"/>
        </w:rPr>
        <w:t>培训</w:t>
      </w:r>
      <w:r>
        <w:rPr>
          <w:rFonts w:hint="eastAsia" w:ascii="等线" w:hAnsi="等线" w:eastAsia="等线" w:cs="等线"/>
          <w:sz w:val="24"/>
          <w:szCs w:val="24"/>
        </w:rPr>
        <w:t>费用：线上</w:t>
      </w:r>
      <w:r>
        <w:rPr>
          <w:rFonts w:hint="eastAsia" w:ascii="等线" w:hAnsi="等线" w:eastAsia="等线" w:cs="等线"/>
          <w:sz w:val="24"/>
          <w:szCs w:val="24"/>
          <w:lang w:val="en-US" w:eastAsia="zh-CN"/>
        </w:rPr>
        <w:t>参会</w:t>
      </w:r>
      <w:r>
        <w:rPr>
          <w:rFonts w:hint="eastAsia" w:ascii="等线" w:hAnsi="等线" w:eastAsia="等线" w:cs="等线"/>
          <w:sz w:val="24"/>
          <w:szCs w:val="24"/>
        </w:rPr>
        <w:t>980元/人；线下</w:t>
      </w:r>
      <w:r>
        <w:rPr>
          <w:rFonts w:hint="eastAsia" w:ascii="等线" w:hAnsi="等线" w:eastAsia="等线" w:cs="等线"/>
          <w:sz w:val="24"/>
          <w:szCs w:val="24"/>
          <w:lang w:val="en-US" w:eastAsia="zh-CN"/>
        </w:rPr>
        <w:t>参会</w:t>
      </w:r>
      <w:r>
        <w:rPr>
          <w:rFonts w:hint="eastAsia" w:ascii="等线" w:hAnsi="等线" w:eastAsia="等线" w:cs="等线"/>
          <w:sz w:val="24"/>
          <w:szCs w:val="24"/>
        </w:rPr>
        <w:t>1980元/人。</w:t>
      </w:r>
    </w:p>
    <w:p w14:paraId="0A86D1CA">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团队报名：线上培训学校组织报名19800/校（不限人数）。</w:t>
      </w:r>
    </w:p>
    <w:p w14:paraId="712AE868">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住宿费：</w:t>
      </w:r>
      <w:r>
        <w:rPr>
          <w:rFonts w:hint="eastAsia" w:ascii="等线" w:hAnsi="等线" w:eastAsia="等线" w:cs="等线"/>
          <w:sz w:val="24"/>
          <w:szCs w:val="24"/>
          <w:lang w:val="en-US" w:eastAsia="zh-CN"/>
        </w:rPr>
        <w:t>35</w:t>
      </w:r>
      <w:r>
        <w:rPr>
          <w:rFonts w:hint="eastAsia" w:ascii="等线" w:hAnsi="等线" w:eastAsia="等线" w:cs="等线"/>
          <w:sz w:val="24"/>
          <w:szCs w:val="24"/>
        </w:rPr>
        <w:t>0元/间/天（单标同价）</w:t>
      </w:r>
      <w:r>
        <w:rPr>
          <w:rFonts w:hint="eastAsia" w:ascii="等线" w:hAnsi="等线" w:eastAsia="等线" w:cs="等线"/>
          <w:sz w:val="24"/>
          <w:szCs w:val="24"/>
          <w:lang w:eastAsia="zh-CN"/>
        </w:rPr>
        <w:t>；</w:t>
      </w:r>
      <w:r>
        <w:rPr>
          <w:rFonts w:hint="eastAsia" w:ascii="等线" w:hAnsi="等线" w:eastAsia="等线" w:cs="等线"/>
          <w:sz w:val="24"/>
          <w:szCs w:val="24"/>
        </w:rPr>
        <w:t>培训费不含食宿费用，食宿统一安排，费用自理。</w:t>
      </w:r>
    </w:p>
    <w:p w14:paraId="304FEC5D">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宋体" w:hAnsi="宋体"/>
          <w:sz w:val="24"/>
          <w:szCs w:val="24"/>
        </w:rPr>
      </w:pPr>
      <w:r>
        <w:rPr>
          <w:rFonts w:hint="eastAsia" w:ascii="宋体" w:hAnsi="宋体"/>
          <w:sz w:val="24"/>
          <w:szCs w:val="24"/>
        </w:rPr>
        <w:t>培训证书：本次培训结束后由北京华思培教育科技院颁发</w:t>
      </w:r>
      <w:r>
        <w:rPr>
          <w:rFonts w:ascii="宋体" w:hAnsi="宋体"/>
          <w:sz w:val="24"/>
          <w:szCs w:val="24"/>
        </w:rPr>
        <w:t>24学时培训证书。</w:t>
      </w:r>
    </w:p>
    <w:p w14:paraId="4F62E62B">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eastAsiaTheme="minorEastAsia"/>
          <w:sz w:val="24"/>
          <w:szCs w:val="24"/>
          <w:lang w:eastAsia="zh-CN"/>
        </w:rPr>
      </w:pPr>
      <w:r>
        <w:rPr>
          <w:rFonts w:hint="eastAsia" w:ascii="宋体" w:hAnsi="宋体"/>
          <w:sz w:val="24"/>
          <w:szCs w:val="24"/>
        </w:rPr>
        <w:t>收款说明：线下培训</w:t>
      </w:r>
      <w:r>
        <w:rPr>
          <w:rFonts w:hint="eastAsia" w:ascii="宋体" w:hAnsi="宋体"/>
          <w:sz w:val="24"/>
          <w:szCs w:val="24"/>
          <w:lang w:val="en-US" w:eastAsia="zh-CN"/>
        </w:rPr>
        <w:t>费用报到当天现场支付，委托“海南中凯启慧培训有限公司”</w:t>
      </w:r>
      <w:r>
        <w:rPr>
          <w:rFonts w:hint="eastAsia" w:ascii="宋体" w:hAnsi="宋体"/>
          <w:sz w:val="24"/>
          <w:szCs w:val="24"/>
        </w:rPr>
        <w:t>收取费用</w:t>
      </w:r>
      <w:r>
        <w:rPr>
          <w:rFonts w:hint="eastAsia" w:ascii="等线" w:hAnsi="等线" w:eastAsia="等线" w:cs="等线"/>
          <w:sz w:val="24"/>
          <w:szCs w:val="24"/>
          <w:lang w:val="en-US" w:eastAsia="zh-CN"/>
        </w:rPr>
        <w:t>并开具发票</w:t>
      </w:r>
      <w:r>
        <w:rPr>
          <w:rFonts w:hint="eastAsia" w:ascii="宋体" w:hAnsi="宋体"/>
          <w:sz w:val="24"/>
          <w:szCs w:val="24"/>
          <w:lang w:eastAsia="zh-CN"/>
        </w:rPr>
        <w:t>；</w:t>
      </w:r>
      <w:r>
        <w:rPr>
          <w:rFonts w:hint="eastAsia" w:ascii="宋体" w:hAnsi="宋体"/>
          <w:sz w:val="24"/>
          <w:szCs w:val="24"/>
        </w:rPr>
        <w:t>线上培训</w:t>
      </w:r>
      <w:r>
        <w:rPr>
          <w:rFonts w:hint="eastAsia" w:ascii="宋体" w:hAnsi="宋体"/>
          <w:sz w:val="24"/>
          <w:szCs w:val="24"/>
          <w:lang w:val="en-US" w:eastAsia="zh-CN"/>
        </w:rPr>
        <w:t>委托“河北善师敦行教育咨询有限公司”</w:t>
      </w:r>
      <w:r>
        <w:rPr>
          <w:rFonts w:hint="eastAsia" w:ascii="宋体" w:hAnsi="宋体"/>
          <w:sz w:val="24"/>
          <w:szCs w:val="24"/>
        </w:rPr>
        <w:t>收取费用</w:t>
      </w:r>
      <w:r>
        <w:rPr>
          <w:rFonts w:hint="eastAsia" w:ascii="等线" w:hAnsi="等线" w:eastAsia="等线" w:cs="等线"/>
          <w:sz w:val="24"/>
          <w:szCs w:val="24"/>
          <w:lang w:val="en-US" w:eastAsia="zh-CN"/>
        </w:rPr>
        <w:t>并开具发票</w:t>
      </w:r>
      <w:r>
        <w:rPr>
          <w:rFonts w:hint="eastAsia" w:ascii="宋体" w:hAnsi="宋体"/>
          <w:sz w:val="24"/>
          <w:szCs w:val="24"/>
          <w:lang w:eastAsia="zh-CN"/>
        </w:rPr>
        <w:t>。</w:t>
      </w:r>
    </w:p>
    <w:p w14:paraId="2B9C96CB">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b/>
          <w:sz w:val="24"/>
          <w:szCs w:val="24"/>
        </w:rPr>
      </w:pPr>
      <w:r>
        <w:rPr>
          <w:rFonts w:hint="eastAsia" w:ascii="微软雅黑" w:hAnsi="微软雅黑" w:eastAsia="微软雅黑" w:cs="微软雅黑"/>
          <w:b/>
          <w:bCs/>
          <w:sz w:val="24"/>
          <w:szCs w:val="24"/>
          <w:lang w:val="en-US"/>
        </w:rPr>
        <w:drawing>
          <wp:anchor distT="0" distB="0" distL="114300" distR="114300" simplePos="0" relativeHeight="251660288" behindDoc="0" locked="0" layoutInCell="1" allowOverlap="1">
            <wp:simplePos x="0" y="0"/>
            <wp:positionH relativeFrom="margin">
              <wp:posOffset>4307840</wp:posOffset>
            </wp:positionH>
            <wp:positionV relativeFrom="paragraph">
              <wp:posOffset>165735</wp:posOffset>
            </wp:positionV>
            <wp:extent cx="1579880" cy="2146935"/>
            <wp:effectExtent l="0" t="0" r="7620" b="12065"/>
            <wp:wrapNone/>
            <wp:docPr id="2" name="图片 2" descr="C:/Users/赵斌/Desktop/微信图片_20250417175313.jpg微信图片_20250417175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赵斌/Desktop/微信图片_20250417175313.jpg微信图片_20250417175313"/>
                    <pic:cNvPicPr>
                      <a:picLocks noChangeAspect="1" noChangeArrowheads="1"/>
                    </pic:cNvPicPr>
                  </pic:nvPicPr>
                  <pic:blipFill>
                    <a:blip r:embed="rId4"/>
                    <a:srcRect t="168" b="20977"/>
                    <a:stretch>
                      <a:fillRect/>
                    </a:stretch>
                  </pic:blipFill>
                  <pic:spPr>
                    <a:xfrm>
                      <a:off x="0" y="0"/>
                      <a:ext cx="1579880" cy="2146935"/>
                    </a:xfrm>
                    <a:prstGeom prst="rect">
                      <a:avLst/>
                    </a:prstGeom>
                    <a:noFill/>
                    <a:ln>
                      <a:noFill/>
                    </a:ln>
                  </pic:spPr>
                </pic:pic>
              </a:graphicData>
            </a:graphic>
          </wp:anchor>
        </w:drawing>
      </w:r>
      <w:r>
        <w:rPr>
          <w:rFonts w:hint="eastAsia" w:ascii="微软雅黑" w:hAnsi="微软雅黑" w:eastAsia="微软雅黑"/>
          <w:b/>
          <w:sz w:val="24"/>
          <w:szCs w:val="24"/>
          <w:lang w:val="en-US" w:eastAsia="zh-CN"/>
        </w:rPr>
        <w:t>八</w:t>
      </w:r>
      <w:r>
        <w:rPr>
          <w:rFonts w:hint="eastAsia" w:ascii="微软雅黑" w:hAnsi="微软雅黑" w:eastAsia="微软雅黑"/>
          <w:b/>
          <w:sz w:val="24"/>
          <w:szCs w:val="24"/>
        </w:rPr>
        <w:t>、</w:t>
      </w:r>
      <w:r>
        <w:rPr>
          <w:rFonts w:hint="eastAsia" w:ascii="微软雅黑" w:hAnsi="微软雅黑" w:eastAsia="微软雅黑"/>
          <w:b/>
          <w:sz w:val="24"/>
          <w:szCs w:val="24"/>
          <w:lang w:val="en-US" w:eastAsia="zh-CN"/>
        </w:rPr>
        <w:t>线上培训</w:t>
      </w:r>
      <w:r>
        <w:rPr>
          <w:rFonts w:hint="eastAsia" w:ascii="微软雅黑" w:hAnsi="微软雅黑" w:eastAsia="微软雅黑"/>
          <w:b/>
          <w:sz w:val="24"/>
          <w:szCs w:val="24"/>
        </w:rPr>
        <w:t>付款方式</w:t>
      </w:r>
    </w:p>
    <w:p w14:paraId="5D12508F">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等线" w:hAnsi="等线" w:eastAsia="等线" w:cs="等线"/>
          <w:b/>
          <w:sz w:val="24"/>
          <w:szCs w:val="24"/>
        </w:rPr>
      </w:pPr>
      <w:r>
        <w:rPr>
          <w:rFonts w:hint="eastAsia" w:ascii="等线" w:hAnsi="等线" w:eastAsia="等线" w:cs="等线"/>
          <w:b/>
          <w:sz w:val="24"/>
          <w:szCs w:val="24"/>
        </w:rPr>
        <w:t>方式一：转账汇款</w:t>
      </w:r>
    </w:p>
    <w:p w14:paraId="4D698DAE">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 xml:space="preserve">账户名称：河北善师敦行教育咨询有限公司  </w:t>
      </w:r>
    </w:p>
    <w:p w14:paraId="470BDC24">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等线" w:hAnsi="等线" w:eastAsia="等线" w:cs="等线"/>
          <w:sz w:val="24"/>
          <w:szCs w:val="24"/>
        </w:rPr>
      </w:pPr>
      <w:r>
        <w:rPr>
          <w:rFonts w:hint="eastAsia" w:ascii="等线" w:hAnsi="等线" w:eastAsia="等线" w:cs="等线"/>
          <w:sz w:val="24"/>
          <w:szCs w:val="24"/>
        </w:rPr>
        <w:t>账    号：0404371519300003855</w:t>
      </w:r>
    </w:p>
    <w:p w14:paraId="793BC11F">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开 户 行：</w:t>
      </w:r>
      <w:r>
        <w:rPr>
          <w:rFonts w:hint="eastAsia" w:ascii="等线" w:hAnsi="等线" w:eastAsia="等线" w:cs="等线"/>
          <w:bCs/>
          <w:sz w:val="24"/>
        </w:rPr>
        <w:t>中国工商银行股份有限公司秦皇岛西山支行</w:t>
      </w:r>
    </w:p>
    <w:p w14:paraId="6AD7C8D8">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联 行 号：</w:t>
      </w:r>
      <w:r>
        <w:rPr>
          <w:rFonts w:hint="eastAsia" w:ascii="等线" w:hAnsi="等线" w:eastAsia="等线" w:cs="等线"/>
          <w:bCs/>
          <w:sz w:val="24"/>
        </w:rPr>
        <w:t>102126005015</w:t>
      </w:r>
    </w:p>
    <w:p w14:paraId="6E0E534E">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等线" w:hAnsi="等线" w:eastAsia="等线" w:cs="等线"/>
          <w:sz w:val="24"/>
          <w:szCs w:val="24"/>
        </w:rPr>
      </w:pPr>
      <w:r>
        <w:rPr>
          <w:rFonts w:hint="eastAsia" w:ascii="等线" w:hAnsi="等线" w:eastAsia="等线" w:cs="等线"/>
          <w:b/>
          <w:sz w:val="24"/>
          <w:szCs w:val="24"/>
        </w:rPr>
        <w:t>方式二：公务卡对公支付</w:t>
      </w:r>
      <w:r>
        <w:rPr>
          <w:rFonts w:hint="eastAsia" w:ascii="等线" w:hAnsi="等线" w:eastAsia="等线" w:cs="等线"/>
          <w:sz w:val="24"/>
          <w:szCs w:val="24"/>
        </w:rPr>
        <w:t>（微信绑定公务卡后，扫描右侧</w:t>
      </w:r>
    </w:p>
    <w:p w14:paraId="343A2B5D">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二维码选择公务卡付款，请备注学校+姓名）</w:t>
      </w:r>
    </w:p>
    <w:p w14:paraId="0E5C1325">
      <w:pPr>
        <w:keepNext w:val="0"/>
        <w:keepLines w:val="0"/>
        <w:pageBreakBefore w:val="0"/>
        <w:widowControl w:val="0"/>
        <w:numPr>
          <w:ilvl w:val="0"/>
          <w:numId w:val="0"/>
        </w:numPr>
        <w:kinsoku/>
        <w:wordWrap/>
        <w:overflowPunct/>
        <w:topLinePunct w:val="0"/>
        <w:autoSpaceDE/>
        <w:autoSpaceDN/>
        <w:bidi w:val="0"/>
        <w:adjustRightInd/>
        <w:snapToGrid/>
        <w:spacing w:after="7" w:afterLines="2" w:line="480" w:lineRule="exact"/>
        <w:ind w:firstLine="480" w:firstLineChars="200"/>
        <w:textAlignment w:val="auto"/>
        <w:rPr>
          <w:rFonts w:hint="eastAsia" w:ascii="微软雅黑" w:hAnsi="微软雅黑" w:eastAsia="微软雅黑"/>
          <w:b/>
          <w:sz w:val="24"/>
          <w:szCs w:val="24"/>
          <w:lang w:eastAsia="zh-CN"/>
        </w:rPr>
      </w:pPr>
      <w:r>
        <w:rPr>
          <w:rFonts w:hint="eastAsia" w:ascii="微软雅黑" w:hAnsi="微软雅黑" w:eastAsia="微软雅黑"/>
          <w:b/>
          <w:sz w:val="24"/>
          <w:szCs w:val="24"/>
          <w:lang w:val="en-US" w:eastAsia="zh-CN"/>
        </w:rPr>
        <w:t>九、</w:t>
      </w:r>
      <w:r>
        <w:rPr>
          <w:rFonts w:hint="eastAsia" w:ascii="微软雅黑" w:hAnsi="微软雅黑" w:eastAsia="微软雅黑"/>
          <w:b/>
          <w:sz w:val="24"/>
          <w:szCs w:val="24"/>
        </w:rPr>
        <w:t>报名联系</w:t>
      </w:r>
    </w:p>
    <w:p w14:paraId="2C3924E3">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联系人：</w:t>
      </w:r>
      <w:r>
        <w:rPr>
          <w:rFonts w:hint="eastAsia" w:ascii="等线" w:hAnsi="等线" w:eastAsia="等线" w:cs="等线"/>
          <w:sz w:val="24"/>
          <w:szCs w:val="24"/>
          <w:lang w:val="en-US" w:eastAsia="zh-CN"/>
        </w:rPr>
        <w:t>李云静 18518556168</w:t>
      </w:r>
      <w:r>
        <w:rPr>
          <w:rFonts w:hint="eastAsia" w:ascii="等线" w:hAnsi="等线" w:eastAsia="等线" w:cs="等线"/>
          <w:sz w:val="24"/>
          <w:szCs w:val="24"/>
        </w:rPr>
        <w:t>（同微信号）</w:t>
      </w:r>
    </w:p>
    <w:p w14:paraId="2250954E">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default" w:ascii="宋体" w:hAnsi="宋体" w:eastAsia="宋体"/>
          <w:sz w:val="24"/>
          <w:szCs w:val="24"/>
          <w:lang w:val="en-US" w:eastAsia="zh-CN"/>
        </w:rPr>
      </w:pPr>
      <w:r>
        <w:rPr>
          <w:rFonts w:hint="eastAsia" w:ascii="等线" w:hAnsi="等线" w:eastAsia="等线" w:cs="等线"/>
          <w:sz w:val="24"/>
          <w:szCs w:val="24"/>
        </w:rPr>
        <w:t>报名邮箱：</w:t>
      </w:r>
      <w:r>
        <w:rPr>
          <w:rFonts w:hint="eastAsia" w:ascii="等线" w:hAnsi="等线" w:eastAsia="等线" w:cs="等线"/>
          <w:sz w:val="24"/>
          <w:szCs w:val="24"/>
          <w:lang w:val="en-US" w:eastAsia="zh-CN"/>
        </w:rPr>
        <w:t>245471788@qq.com</w:t>
      </w:r>
    </w:p>
    <w:p w14:paraId="112A2D81">
      <w:pPr>
        <w:keepNext w:val="0"/>
        <w:keepLines w:val="0"/>
        <w:pageBreakBefore w:val="0"/>
        <w:widowControl w:val="0"/>
        <w:kinsoku/>
        <w:wordWrap/>
        <w:overflowPunct/>
        <w:topLinePunct w:val="0"/>
        <w:autoSpaceDE/>
        <w:autoSpaceDN/>
        <w:bidi w:val="0"/>
        <w:adjustRightInd/>
        <w:snapToGrid/>
        <w:spacing w:after="7" w:afterLines="2" w:line="480" w:lineRule="exact"/>
        <w:ind w:firstLine="480"/>
        <w:jc w:val="left"/>
        <w:textAlignment w:val="auto"/>
        <w:rPr>
          <w:rFonts w:hint="eastAsia" w:ascii="等线" w:hAnsi="等线" w:eastAsia="等线" w:cs="等线"/>
          <w:sz w:val="24"/>
          <w:szCs w:val="24"/>
          <w:lang w:val="en-US" w:eastAsia="zh-CN"/>
        </w:rPr>
      </w:pPr>
      <w:r>
        <w:rPr>
          <w:rFonts w:hint="eastAsia" w:ascii="等线" w:hAnsi="等线" w:eastAsia="等线" w:cs="等线"/>
          <w:sz w:val="24"/>
          <w:szCs w:val="24"/>
        </w:rPr>
        <w:drawing>
          <wp:anchor distT="0" distB="0" distL="114300" distR="114300" simplePos="0" relativeHeight="251662336" behindDoc="0" locked="0" layoutInCell="1" allowOverlap="1">
            <wp:simplePos x="0" y="0"/>
            <wp:positionH relativeFrom="column">
              <wp:posOffset>4558030</wp:posOffset>
            </wp:positionH>
            <wp:positionV relativeFrom="paragraph">
              <wp:posOffset>224790</wp:posOffset>
            </wp:positionV>
            <wp:extent cx="1768475" cy="1771650"/>
            <wp:effectExtent l="0" t="0" r="0" b="0"/>
            <wp:wrapNone/>
            <wp:docPr id="3" name="图片 3" descr="f1fb0b94fa6e4e283339993c26504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fb0b94fa6e4e283339993c265041e"/>
                    <pic:cNvPicPr>
                      <a:picLocks noChangeAspect="1"/>
                    </pic:cNvPicPr>
                  </pic:nvPicPr>
                  <pic:blipFill>
                    <a:blip r:embed="rId5"/>
                    <a:stretch>
                      <a:fillRect/>
                    </a:stretch>
                  </pic:blipFill>
                  <pic:spPr>
                    <a:xfrm rot="19440000">
                      <a:off x="0" y="0"/>
                      <a:ext cx="1768475" cy="1771650"/>
                    </a:xfrm>
                    <a:prstGeom prst="rect">
                      <a:avLst/>
                    </a:prstGeom>
                    <a:noFill/>
                    <a:ln>
                      <a:noFill/>
                    </a:ln>
                  </pic:spPr>
                </pic:pic>
              </a:graphicData>
            </a:graphic>
          </wp:anchor>
        </w:drawing>
      </w:r>
      <w:r>
        <w:rPr>
          <w:rFonts w:hint="eastAsia" w:ascii="等线" w:hAnsi="等线" w:eastAsia="等线" w:cs="等线"/>
          <w:sz w:val="24"/>
          <w:szCs w:val="24"/>
        </w:rPr>
        <w:drawing>
          <wp:anchor distT="0" distB="0" distL="114300" distR="114300" simplePos="0" relativeHeight="251661312" behindDoc="0" locked="0" layoutInCell="1" allowOverlap="1">
            <wp:simplePos x="0" y="0"/>
            <wp:positionH relativeFrom="column">
              <wp:posOffset>2842260</wp:posOffset>
            </wp:positionH>
            <wp:positionV relativeFrom="paragraph">
              <wp:posOffset>275590</wp:posOffset>
            </wp:positionV>
            <wp:extent cx="1663065" cy="1655445"/>
            <wp:effectExtent l="36830" t="12065" r="40005" b="59690"/>
            <wp:wrapNone/>
            <wp:docPr id="4" name="图片 9" descr="e0c3f10691eeadac3dd53f272510b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 descr="e0c3f10691eeadac3dd53f272510bd1"/>
                    <pic:cNvPicPr>
                      <a:picLocks noChangeAspect="1"/>
                    </pic:cNvPicPr>
                  </pic:nvPicPr>
                  <pic:blipFill>
                    <a:blip r:embed="rId6"/>
                    <a:stretch>
                      <a:fillRect/>
                    </a:stretch>
                  </pic:blipFill>
                  <pic:spPr>
                    <a:xfrm rot="1802520">
                      <a:off x="0" y="0"/>
                      <a:ext cx="1663065" cy="1655445"/>
                    </a:xfrm>
                    <a:prstGeom prst="rect">
                      <a:avLst/>
                    </a:prstGeom>
                    <a:noFill/>
                    <a:ln>
                      <a:noFill/>
                    </a:ln>
                  </pic:spPr>
                </pic:pic>
              </a:graphicData>
            </a:graphic>
          </wp:anchor>
        </w:drawing>
      </w:r>
    </w:p>
    <w:p w14:paraId="292850CF">
      <w:pPr>
        <w:keepNext w:val="0"/>
        <w:keepLines w:val="0"/>
        <w:pageBreakBefore w:val="0"/>
        <w:widowControl w:val="0"/>
        <w:kinsoku/>
        <w:wordWrap/>
        <w:overflowPunct/>
        <w:topLinePunct w:val="0"/>
        <w:autoSpaceDE/>
        <w:autoSpaceDN/>
        <w:bidi w:val="0"/>
        <w:adjustRightInd/>
        <w:snapToGrid/>
        <w:spacing w:before="62" w:beforeLines="20" w:after="7" w:afterLines="2" w:line="480" w:lineRule="exact"/>
        <w:ind w:firstLine="480"/>
        <w:jc w:val="left"/>
        <w:textAlignment w:val="auto"/>
        <w:rPr>
          <w:rFonts w:hint="eastAsia" w:ascii="等线" w:hAnsi="等线" w:eastAsia="等线" w:cs="等线"/>
          <w:sz w:val="24"/>
          <w:szCs w:val="24"/>
          <w:lang w:val="en-US" w:eastAsia="zh-CN"/>
        </w:rPr>
      </w:pPr>
    </w:p>
    <w:p w14:paraId="5A6C1E99">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jc w:val="right"/>
        <w:textAlignment w:val="auto"/>
        <w:rPr>
          <w:rFonts w:hint="eastAsia" w:ascii="等线" w:hAnsi="等线" w:eastAsia="等线" w:cs="等线"/>
          <w:sz w:val="24"/>
          <w:szCs w:val="24"/>
        </w:rPr>
      </w:pPr>
      <w:r>
        <w:rPr>
          <w:rFonts w:hint="eastAsia" w:ascii="等线" w:hAnsi="等线" w:eastAsia="等线" w:cs="等线"/>
          <w:sz w:val="24"/>
          <w:szCs w:val="24"/>
        </w:rPr>
        <w:t>北京华思培教育科技院</w:t>
      </w:r>
    </w:p>
    <w:p w14:paraId="0A2132F9">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jc w:val="right"/>
        <w:textAlignment w:val="auto"/>
        <w:rPr>
          <w:rFonts w:hint="eastAsia" w:ascii="宋体" w:hAnsi="宋体"/>
          <w:sz w:val="24"/>
          <w:szCs w:val="24"/>
        </w:rPr>
      </w:pPr>
      <w:r>
        <w:rPr>
          <w:rFonts w:hint="eastAsia" w:ascii="等线" w:hAnsi="等线" w:eastAsia="等线" w:cs="等线"/>
          <w:sz w:val="24"/>
          <w:szCs w:val="24"/>
        </w:rPr>
        <w:t xml:space="preserve">河北善师敦行教育咨询有限公司    </w:t>
      </w:r>
    </w:p>
    <w:p w14:paraId="789C3D2E">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jc w:val="right"/>
        <w:textAlignment w:val="auto"/>
        <w:rPr>
          <w:rFonts w:hint="eastAsia" w:ascii="宋体" w:hAnsi="宋体"/>
          <w:sz w:val="24"/>
          <w:szCs w:val="24"/>
          <w:lang w:val="en-US" w:eastAsia="zh-CN"/>
        </w:rPr>
      </w:pPr>
      <w:r>
        <w:rPr>
          <w:rFonts w:hint="eastAsia" w:ascii="宋体" w:hAnsi="宋体"/>
          <w:sz w:val="24"/>
          <w:szCs w:val="24"/>
          <w:lang w:val="en-US" w:eastAsia="zh-CN"/>
        </w:rPr>
        <w:t>2025年11月27日</w:t>
      </w:r>
    </w:p>
    <w:p w14:paraId="1F6F79FA">
      <w:pPr>
        <w:keepNext w:val="0"/>
        <w:keepLines w:val="0"/>
        <w:pageBreakBefore w:val="0"/>
        <w:widowControl w:val="0"/>
        <w:kinsoku/>
        <w:wordWrap/>
        <w:overflowPunct/>
        <w:topLinePunct w:val="0"/>
        <w:autoSpaceDE/>
        <w:autoSpaceDN/>
        <w:bidi w:val="0"/>
        <w:adjustRightInd/>
        <w:snapToGrid/>
        <w:spacing w:after="7" w:afterLines="2" w:line="500" w:lineRule="exact"/>
        <w:jc w:val="both"/>
        <w:textAlignment w:val="auto"/>
        <w:rPr>
          <w:rFonts w:hint="default" w:ascii="宋体" w:hAnsi="宋体"/>
          <w:sz w:val="24"/>
          <w:szCs w:val="24"/>
          <w:lang w:val="en-US" w:eastAsia="zh-CN"/>
        </w:rPr>
      </w:pPr>
      <w:bookmarkStart w:id="2" w:name="_GoBack"/>
      <w:bookmarkEnd w:id="2"/>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wMWU3MzQ2NGZiNDE4MmM3ZDcxZjM3NjNhYjc1YzYifQ=="/>
    <w:docVar w:name="KSO_WPS_MARK_KEY" w:val="7d31eee8-517d-4730-89de-5effdd32fc95"/>
  </w:docVars>
  <w:rsids>
    <w:rsidRoot w:val="00E873B5"/>
    <w:rsid w:val="00041615"/>
    <w:rsid w:val="000419E3"/>
    <w:rsid w:val="00045B10"/>
    <w:rsid w:val="00052332"/>
    <w:rsid w:val="00094F33"/>
    <w:rsid w:val="001546C7"/>
    <w:rsid w:val="00163D9F"/>
    <w:rsid w:val="00177BE6"/>
    <w:rsid w:val="0019232E"/>
    <w:rsid w:val="001B5712"/>
    <w:rsid w:val="001B67A6"/>
    <w:rsid w:val="0021541A"/>
    <w:rsid w:val="00257237"/>
    <w:rsid w:val="00260F15"/>
    <w:rsid w:val="002732E9"/>
    <w:rsid w:val="002E3186"/>
    <w:rsid w:val="0033547B"/>
    <w:rsid w:val="00371EB9"/>
    <w:rsid w:val="003C026E"/>
    <w:rsid w:val="003C399B"/>
    <w:rsid w:val="0042740B"/>
    <w:rsid w:val="00467C9B"/>
    <w:rsid w:val="00470940"/>
    <w:rsid w:val="004B13D9"/>
    <w:rsid w:val="004E6219"/>
    <w:rsid w:val="005129FD"/>
    <w:rsid w:val="005319E8"/>
    <w:rsid w:val="0056185A"/>
    <w:rsid w:val="005823FB"/>
    <w:rsid w:val="00582997"/>
    <w:rsid w:val="005B6E16"/>
    <w:rsid w:val="005C1A49"/>
    <w:rsid w:val="005D0067"/>
    <w:rsid w:val="005D5298"/>
    <w:rsid w:val="005D6F07"/>
    <w:rsid w:val="005E5464"/>
    <w:rsid w:val="005F773C"/>
    <w:rsid w:val="0065709E"/>
    <w:rsid w:val="00665BAB"/>
    <w:rsid w:val="0068742E"/>
    <w:rsid w:val="006A4D85"/>
    <w:rsid w:val="006B3E37"/>
    <w:rsid w:val="006C1210"/>
    <w:rsid w:val="00702EE4"/>
    <w:rsid w:val="0073115D"/>
    <w:rsid w:val="00733E79"/>
    <w:rsid w:val="0078326B"/>
    <w:rsid w:val="00785199"/>
    <w:rsid w:val="007C521D"/>
    <w:rsid w:val="007E472E"/>
    <w:rsid w:val="00815183"/>
    <w:rsid w:val="00841D53"/>
    <w:rsid w:val="008F2598"/>
    <w:rsid w:val="008F3684"/>
    <w:rsid w:val="008F6312"/>
    <w:rsid w:val="00980070"/>
    <w:rsid w:val="009838AC"/>
    <w:rsid w:val="009B0E3B"/>
    <w:rsid w:val="009B5891"/>
    <w:rsid w:val="009E7F99"/>
    <w:rsid w:val="009F4B48"/>
    <w:rsid w:val="00A036CC"/>
    <w:rsid w:val="00A26F5A"/>
    <w:rsid w:val="00AC4B30"/>
    <w:rsid w:val="00AE4DFE"/>
    <w:rsid w:val="00B17A05"/>
    <w:rsid w:val="00B2494E"/>
    <w:rsid w:val="00B272FF"/>
    <w:rsid w:val="00B818C7"/>
    <w:rsid w:val="00BB141A"/>
    <w:rsid w:val="00BB296C"/>
    <w:rsid w:val="00BD2DFB"/>
    <w:rsid w:val="00BE4460"/>
    <w:rsid w:val="00C6071A"/>
    <w:rsid w:val="00C756F7"/>
    <w:rsid w:val="00C81735"/>
    <w:rsid w:val="00CB7434"/>
    <w:rsid w:val="00CD69B5"/>
    <w:rsid w:val="00D13B68"/>
    <w:rsid w:val="00D33C8E"/>
    <w:rsid w:val="00D360A5"/>
    <w:rsid w:val="00D802C2"/>
    <w:rsid w:val="00DD215F"/>
    <w:rsid w:val="00E15A29"/>
    <w:rsid w:val="00E24199"/>
    <w:rsid w:val="00E464DC"/>
    <w:rsid w:val="00E873B5"/>
    <w:rsid w:val="00E92822"/>
    <w:rsid w:val="00EB622F"/>
    <w:rsid w:val="00EB6CE2"/>
    <w:rsid w:val="00EB7B22"/>
    <w:rsid w:val="00ED373E"/>
    <w:rsid w:val="00EF4D6A"/>
    <w:rsid w:val="00F07984"/>
    <w:rsid w:val="00F13FDF"/>
    <w:rsid w:val="00F53460"/>
    <w:rsid w:val="00F54A3F"/>
    <w:rsid w:val="01545DE2"/>
    <w:rsid w:val="03FA1421"/>
    <w:rsid w:val="048173C2"/>
    <w:rsid w:val="04AB2B7B"/>
    <w:rsid w:val="04BD7DD5"/>
    <w:rsid w:val="06940771"/>
    <w:rsid w:val="07204EB7"/>
    <w:rsid w:val="087A250A"/>
    <w:rsid w:val="0909610C"/>
    <w:rsid w:val="0A0B198F"/>
    <w:rsid w:val="0DF1247D"/>
    <w:rsid w:val="10855760"/>
    <w:rsid w:val="115B2DE0"/>
    <w:rsid w:val="161240C1"/>
    <w:rsid w:val="172F14BD"/>
    <w:rsid w:val="174317C5"/>
    <w:rsid w:val="181317CB"/>
    <w:rsid w:val="18E13D5A"/>
    <w:rsid w:val="190B7BD1"/>
    <w:rsid w:val="193C1E6B"/>
    <w:rsid w:val="19967B02"/>
    <w:rsid w:val="19CD23EC"/>
    <w:rsid w:val="1A71578C"/>
    <w:rsid w:val="1AED2CFB"/>
    <w:rsid w:val="1B8B0E08"/>
    <w:rsid w:val="1BFC73AA"/>
    <w:rsid w:val="1CD01CD0"/>
    <w:rsid w:val="1E9F2DAF"/>
    <w:rsid w:val="1F672767"/>
    <w:rsid w:val="209E5E2A"/>
    <w:rsid w:val="23F37D68"/>
    <w:rsid w:val="24C14ED8"/>
    <w:rsid w:val="25684400"/>
    <w:rsid w:val="268D6098"/>
    <w:rsid w:val="273B1E47"/>
    <w:rsid w:val="2A174F9B"/>
    <w:rsid w:val="306F6B7E"/>
    <w:rsid w:val="32375D7A"/>
    <w:rsid w:val="339B6324"/>
    <w:rsid w:val="3651479A"/>
    <w:rsid w:val="3A301FBF"/>
    <w:rsid w:val="3A601AD7"/>
    <w:rsid w:val="3B152199"/>
    <w:rsid w:val="3DFB484A"/>
    <w:rsid w:val="3EC3599D"/>
    <w:rsid w:val="3EC8529A"/>
    <w:rsid w:val="423F3790"/>
    <w:rsid w:val="429B2544"/>
    <w:rsid w:val="45160A42"/>
    <w:rsid w:val="45231CC8"/>
    <w:rsid w:val="459818E1"/>
    <w:rsid w:val="462211FB"/>
    <w:rsid w:val="464A6E0D"/>
    <w:rsid w:val="49015528"/>
    <w:rsid w:val="4A8D175A"/>
    <w:rsid w:val="4B493D37"/>
    <w:rsid w:val="4E672812"/>
    <w:rsid w:val="4E934AB0"/>
    <w:rsid w:val="4FC7696F"/>
    <w:rsid w:val="50442373"/>
    <w:rsid w:val="50601900"/>
    <w:rsid w:val="507C3BFE"/>
    <w:rsid w:val="509C343C"/>
    <w:rsid w:val="512929B9"/>
    <w:rsid w:val="52021437"/>
    <w:rsid w:val="526065F9"/>
    <w:rsid w:val="54A65A01"/>
    <w:rsid w:val="56CD37C6"/>
    <w:rsid w:val="57293B74"/>
    <w:rsid w:val="596A0370"/>
    <w:rsid w:val="5AF96EC5"/>
    <w:rsid w:val="5B16743A"/>
    <w:rsid w:val="5BD7618C"/>
    <w:rsid w:val="5DBD02F2"/>
    <w:rsid w:val="5E2E131F"/>
    <w:rsid w:val="60970BBD"/>
    <w:rsid w:val="61891CD7"/>
    <w:rsid w:val="61BD1644"/>
    <w:rsid w:val="620A5694"/>
    <w:rsid w:val="67723066"/>
    <w:rsid w:val="68182DCE"/>
    <w:rsid w:val="68A45648"/>
    <w:rsid w:val="693E31D2"/>
    <w:rsid w:val="69762257"/>
    <w:rsid w:val="6B87059F"/>
    <w:rsid w:val="6C93325A"/>
    <w:rsid w:val="6D045572"/>
    <w:rsid w:val="6ED01CAA"/>
    <w:rsid w:val="6F167556"/>
    <w:rsid w:val="71296B94"/>
    <w:rsid w:val="713241E6"/>
    <w:rsid w:val="72321FAD"/>
    <w:rsid w:val="7241596A"/>
    <w:rsid w:val="75614D72"/>
    <w:rsid w:val="773109EF"/>
    <w:rsid w:val="79E02CA1"/>
    <w:rsid w:val="7DF62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Strong"/>
    <w:basedOn w:val="8"/>
    <w:qFormat/>
    <w:uiPriority w:val="22"/>
    <w:rPr>
      <w:b/>
    </w:rPr>
  </w:style>
  <w:style w:type="character" w:styleId="10">
    <w:name w:val="Hyperlink"/>
    <w:unhideWhenUsed/>
    <w:qFormat/>
    <w:uiPriority w:val="99"/>
    <w:rPr>
      <w:color w:val="0563C1"/>
      <w:u w:val="single"/>
    </w:rPr>
  </w:style>
  <w:style w:type="paragraph" w:customStyle="1" w:styleId="11">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font71"/>
    <w:basedOn w:val="8"/>
    <w:qFormat/>
    <w:uiPriority w:val="0"/>
    <w:rPr>
      <w:rFonts w:hint="eastAsia" w:ascii="等线" w:hAnsi="等线" w:eastAsia="等线" w:cs="等线"/>
      <w:b/>
      <w:bCs/>
      <w:color w:val="000000"/>
      <w:sz w:val="18"/>
      <w:szCs w:val="18"/>
      <w:u w:val="none"/>
    </w:rPr>
  </w:style>
  <w:style w:type="character" w:customStyle="1" w:styleId="16">
    <w:name w:val="font31"/>
    <w:basedOn w:val="8"/>
    <w:qFormat/>
    <w:uiPriority w:val="0"/>
    <w:rPr>
      <w:rFonts w:hint="eastAsia" w:ascii="等线" w:hAnsi="等线" w:eastAsia="等线" w:cs="等线"/>
      <w:color w:val="FF0000"/>
      <w:sz w:val="18"/>
      <w:szCs w:val="18"/>
      <w:u w:val="none"/>
    </w:rPr>
  </w:style>
  <w:style w:type="character" w:customStyle="1" w:styleId="17">
    <w:name w:val="font11"/>
    <w:basedOn w:val="8"/>
    <w:qFormat/>
    <w:uiPriority w:val="0"/>
    <w:rPr>
      <w:rFonts w:hint="eastAsia" w:ascii="等线" w:hAnsi="等线" w:eastAsia="等线" w:cs="等线"/>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2525</Words>
  <Characters>2741</Characters>
  <Lines>29</Lines>
  <Paragraphs>8</Paragraphs>
  <TotalTime>0</TotalTime>
  <ScaleCrop>false</ScaleCrop>
  <LinksUpToDate>false</LinksUpToDate>
  <CharactersWithSpaces>2767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2021-11-18T03:43:00Z</dcterms:created>
  <dc:creator>ADMIN</dc:creator>
  <cp:lastModifiedBy>赵斌</cp:lastModifiedBy>
  <cp:lastPrinted>2020-10-12T02:09:00Z</cp:lastPrinted>
  <dcterms:modified xsi:type="dcterms:W3CDTF">2025-12-02T07:08:55Z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A965D13ED5F14D1EAF60757FCCC40334_13</vt:lpwstr>
  </property>
  <property fmtid="{D5CDD505-2E9C-101B-9397-08002B2CF9AE}" pid="4" name="KSOTemplateDocerSaveRecord">
    <vt:lpwstr>eyJoZGlkIjoiYmEwMWU3MzQ2NGZiNDE4MmM3ZDcxZjM3NjNhYjc1YzYiLCJ1c2VySWQiOiIzNjcyNjQ1MjgifQ==</vt:lpwstr>
  </property>
</Properties>
</file>